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E7" w:rsidRPr="00C7787D" w:rsidRDefault="000B55E7" w:rsidP="000B55E7">
      <w:pPr>
        <w:rPr>
          <w:rFonts w:ascii="Times New Roman" w:eastAsia="方正小标宋简体" w:hAnsi="Times New Roman"/>
          <w:sz w:val="36"/>
          <w:szCs w:val="36"/>
        </w:rPr>
      </w:pPr>
    </w:p>
    <w:p w:rsidR="00CA1206" w:rsidRDefault="00CA1206" w:rsidP="000B55E7">
      <w:pPr>
        <w:pStyle w:val="a7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A1206" w:rsidRDefault="00CA1206" w:rsidP="000B55E7">
      <w:pPr>
        <w:pStyle w:val="a7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A1206" w:rsidRDefault="00CA1206" w:rsidP="000B55E7">
      <w:pPr>
        <w:pStyle w:val="a7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A1206" w:rsidRDefault="00CA1206" w:rsidP="000B55E7">
      <w:pPr>
        <w:pStyle w:val="a7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A1206" w:rsidRDefault="00CA1206" w:rsidP="000B55E7">
      <w:pPr>
        <w:pStyle w:val="a7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B55E7" w:rsidRDefault="000B55E7" w:rsidP="000B55E7">
      <w:pPr>
        <w:pStyle w:val="a7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C7787D">
        <w:rPr>
          <w:rFonts w:ascii="Times New Roman" w:eastAsia="仿宋_GB2312" w:hAnsi="Times New Roman" w:cs="Times New Roman"/>
          <w:sz w:val="32"/>
          <w:szCs w:val="32"/>
        </w:rPr>
        <w:t>法〔</w:t>
      </w:r>
      <w:r w:rsidRPr="00C7787D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C7787D">
        <w:rPr>
          <w:rFonts w:ascii="Times New Roman" w:eastAsia="仿宋_GB2312" w:hAnsi="Times New Roman" w:cs="Times New Roman"/>
          <w:sz w:val="32"/>
          <w:szCs w:val="32"/>
        </w:rPr>
        <w:t>〕</w:t>
      </w:r>
      <w:r w:rsidR="00782765">
        <w:rPr>
          <w:rFonts w:ascii="Times New Roman" w:eastAsia="仿宋_GB2312" w:hAnsi="Times New Roman" w:cs="Times New Roman" w:hint="eastAsia"/>
          <w:sz w:val="32"/>
          <w:szCs w:val="32"/>
        </w:rPr>
        <w:t>346</w:t>
      </w:r>
      <w:r w:rsidRPr="00C7787D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CA1206" w:rsidRDefault="00CA1206" w:rsidP="000B55E7">
      <w:pPr>
        <w:pStyle w:val="a7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A42E51" w:rsidRPr="0065402E" w:rsidRDefault="00A42E51" w:rsidP="008E20C6">
      <w:pPr>
        <w:pStyle w:val="a7"/>
        <w:rPr>
          <w:rFonts w:hAnsi="宋体" w:cs="宋体"/>
        </w:rPr>
      </w:pPr>
    </w:p>
    <w:p w:rsidR="00782765" w:rsidRPr="00782765" w:rsidRDefault="00782765" w:rsidP="00782765">
      <w:pPr>
        <w:jc w:val="center"/>
        <w:rPr>
          <w:rFonts w:ascii="Times New Roman" w:eastAsia="方正小标宋简体" w:hAnsi="Times New Roman" w:hint="eastAsia"/>
          <w:sz w:val="36"/>
          <w:szCs w:val="36"/>
        </w:rPr>
      </w:pPr>
      <w:r w:rsidRPr="00782765">
        <w:rPr>
          <w:rFonts w:ascii="Times New Roman" w:eastAsia="方正小标宋简体" w:hAnsi="Times New Roman" w:hint="eastAsia"/>
          <w:sz w:val="36"/>
          <w:szCs w:val="36"/>
        </w:rPr>
        <w:t>最高人民法院印发</w:t>
      </w:r>
    </w:p>
    <w:p w:rsidR="00782765" w:rsidRPr="00782765" w:rsidRDefault="00782765" w:rsidP="00782765">
      <w:pPr>
        <w:jc w:val="center"/>
        <w:rPr>
          <w:rFonts w:ascii="Times New Roman" w:eastAsia="方正小标宋简体" w:hAnsi="Times New Roman" w:hint="eastAsia"/>
          <w:sz w:val="36"/>
          <w:szCs w:val="36"/>
        </w:rPr>
      </w:pPr>
      <w:r w:rsidRPr="00782765">
        <w:rPr>
          <w:rFonts w:ascii="Times New Roman" w:eastAsia="方正小标宋简体" w:hAnsi="Times New Roman" w:hint="eastAsia"/>
          <w:sz w:val="36"/>
          <w:szCs w:val="36"/>
        </w:rPr>
        <w:t>《关于修改〈民事案件案由规定〉的决定》的通知</w:t>
      </w:r>
    </w:p>
    <w:p w:rsidR="00A42E51" w:rsidRPr="00782765" w:rsidRDefault="00A42E51" w:rsidP="008E20C6">
      <w:pPr>
        <w:pStyle w:val="a7"/>
        <w:rPr>
          <w:rFonts w:hAnsi="宋体" w:cs="宋体"/>
        </w:rPr>
      </w:pPr>
    </w:p>
    <w:p w:rsidR="00782765" w:rsidRPr="001229FB" w:rsidRDefault="00782765" w:rsidP="00D5076C">
      <w:pPr>
        <w:pStyle w:val="a7"/>
        <w:rPr>
          <w:rFonts w:hAnsi="宋体" w:cs="宋体" w:hint="eastAsia"/>
        </w:rPr>
      </w:pP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>各省、自治区、直辖市高级人民法院，解放军军事法院，新疆维吾尔自治区高级人民法院生产建设兵团分院：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现将《最高人民法院关于修改〈民事案件案由规定〉的决定》印发给你们，请认真贯彻执行。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 xml:space="preserve">                                        </w:t>
      </w:r>
      <w:r w:rsidRPr="00782765">
        <w:rPr>
          <w:rFonts w:ascii="仿宋_GB2312" w:eastAsia="仿宋_GB2312" w:hAnsi="宋体" w:cs="宋体" w:hint="eastAsia"/>
          <w:sz w:val="30"/>
          <w:szCs w:val="30"/>
        </w:rPr>
        <w:t>最高人民法院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 xml:space="preserve">                                      </w:t>
      </w:r>
      <w:r w:rsidRPr="00782765">
        <w:rPr>
          <w:rFonts w:ascii="仿宋_GB2312" w:eastAsia="仿宋_GB2312" w:hAnsi="宋体" w:cs="宋体" w:hint="eastAsia"/>
          <w:sz w:val="30"/>
          <w:szCs w:val="30"/>
        </w:rPr>
        <w:t>2020年12月29日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</w:p>
    <w:p w:rsidR="00782765" w:rsidRPr="00782765" w:rsidRDefault="00782765" w:rsidP="00782765">
      <w:pPr>
        <w:pStyle w:val="a7"/>
        <w:jc w:val="center"/>
        <w:rPr>
          <w:rFonts w:ascii="华文中宋" w:eastAsia="华文中宋" w:hAnsi="华文中宋" w:cs="宋体" w:hint="eastAsia"/>
          <w:sz w:val="36"/>
          <w:szCs w:val="36"/>
        </w:rPr>
      </w:pPr>
      <w:r w:rsidRPr="00782765">
        <w:rPr>
          <w:rFonts w:ascii="华文中宋" w:eastAsia="华文中宋" w:hAnsi="华文中宋" w:cs="宋体" w:hint="eastAsia"/>
          <w:sz w:val="36"/>
          <w:szCs w:val="36"/>
        </w:rPr>
        <w:t>最高人民法院关于修改《民事案件案由规定》的决定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根据《中华人民共和国民法典》《中华人民共和国民事诉讼法》等法律规定，结合人民法院民事审判工作实际，对2011年2月18日第一次修正的《民事案件案由规定》作如下修改： 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一、修改第一级案由3个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1.变更第一级案由“第四部分　合同、无因管理、不当得利纠纷”为第一级案由“第四部分 合同、准合同纠纷”。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2.变更第一级案由“第十部分 适用特殊程序案件案由”为第一级案由“第十部分 非讼程序案件案由”。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>3.增加第一级案由“第十一部分 特殊诉讼程序案件案由”。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>二、修改第二级案由13个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4.增加第二级案由“三十、独立保函纠纷”。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5.变更第二级案由“三十三、认定公民无民事行为能力、限制民事行为能力案件”为“三十四、认定自然人无民事行为能力、限制民事行为能力案件”。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6.增加第二级案由“三十五、指定遗产管理人案件”。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7.增加第二级案由“三十七、确认调解协议案件”。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8.增加第二级案由“三十八、实现担保物权案件”。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9.增加第二级案由“四十二、公司清算案件”。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10.增加第二级案由“四十三、破产程序案件”。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11.增加第二级案由“四十六、申请人身安全保护令案件”。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12.增加第二级案由“四十七、申请人格权侵害禁令案件”。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lastRenderedPageBreak/>
        <w:t xml:space="preserve">　　13.增加第二级案由“五十一、与宣告失踪、宣告死亡案件有关的纠纷”。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14.增加第二级案由“五十二、公益诉讼”。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15.增加第二级案由“五十三、第三人撤销之诉”。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16.变更第二级案由“四十三、执行异议之诉”为 “五十四、执行程序中的异议之诉”。 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三、修改第三级案由88个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17.在第二级案由“一、人格权纠纷”项下：变更“1.生命权、健康权、身体权纠纷”为“1.生命权、身体权、健康权纠纷”；增加“3.名称权纠纷”“5.声音保护纠纷”；变更“6.隐私权纠纷”为“8.隐私权、个人信息保护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18.在第二级案由“二、婚姻家庭纠纷”项下：增加“13.婚内夫妻财产分割纠纷”“21.亲子关系纠纷”。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19.在第二级案由“三、继承纠纷”项下：增加“34.遗产管理纠纷”。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20.在第二级案由“六、所有权纠纷”项下：增加“52.添附物归属纠纷”。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21.在第二级案由“七、用益物权纠纷”项下：增加“62.土地经营权纠纷”“65.居住权纠纷”。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22.在第二级案由“十、合同纠纷”项下：增加“75.预约合同纠纷”“82.债务加入纠纷”；变更“75.招标投标买卖合同纠纷”为第三级案由“84.买卖合同纠纷”项下的第四级案由“（5）招标投标买卖合同纠纷”；变更“83.房屋拆迁安置补偿合同纠纷”为“92.民事主体间房屋拆迁补偿合同纠纷”；增加“97.排污权交易纠纷”“98.用能权交</w:t>
      </w:r>
      <w:r w:rsidRPr="00782765">
        <w:rPr>
          <w:rFonts w:ascii="仿宋_GB2312" w:eastAsia="仿宋_GB2312" w:hAnsi="宋体" w:cs="宋体" w:hint="eastAsia"/>
          <w:sz w:val="30"/>
          <w:szCs w:val="30"/>
        </w:rPr>
        <w:lastRenderedPageBreak/>
        <w:t>易纠纷”“99.用水权交易纠纷”“100.碳排放权交易纠纷”“101.碳汇交易纠纷”“113.保理合同纠纷”；变更“107.居间合同纠纷”为“123.中介合同纠纷”，变更“111.合伙协议纠纷”为“127.合伙合同纠纷”，变更“119.农村土地承包合同纠纷”为“135.土地承包经营权合同纠纷”；增加“136.居住权合同纠纷”；删去“ 127.请求确认人民调解协议效力”。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23.在第二级案由“十五、不正当竞争纠纷”项下：增加“182.网络不正当竞争纠纷”。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24.在第二级案由“十八、人事争议”项下：删去“172.人事争议”；增加“190.聘任合同纠纷”。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25.在第二级案由“二十一、与公司有关的纠纷”项下：变更“257.股东损害公司债权人利益责任纠纷”为“277.损害公司债权人利益责任纠纷”；变更“264.申请公司清算”为新增加的第二级案由“四十二、公司清算案件”项下的第三级案由“420.申请公司清算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26.在第二级案由“二十三、与破产有关的纠纷”项下：变更“270.申请破产清算”“271.申请破产重整”“272.申请破产和解”为新增加的第二级案由“四十三、破产程序案件”项下的第三级案由“421.申请破产清算”“422.申请破产重整”“423.申请破产和解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27.在新增加的第二级案由“三十、独立保函纠纷”项下：增加“357.独立保函开立纠纷”“358.独立保函付款纠纷”“359.独立保函追偿纠纷”“360.独立保函欺诈纠纷”“361.独立保函转让纠纷”“362.独立保函通知纠纷”“363.独立保函撤销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28.在第二级案由“三十、侵权责任纠纷”项下：变更“348之一、性骚扰损害责任纠纷”为“372.性骚扰损害责任纠纷”；增加“375.</w:t>
      </w:r>
      <w:r w:rsidRPr="00782765">
        <w:rPr>
          <w:rFonts w:ascii="仿宋_GB2312" w:eastAsia="仿宋_GB2312" w:hAnsi="宋体" w:cs="宋体" w:hint="eastAsia"/>
          <w:sz w:val="30"/>
          <w:szCs w:val="30"/>
        </w:rPr>
        <w:lastRenderedPageBreak/>
        <w:t>非机动车交通事故责任纠纷”“378.生态破坏责任纠纷”；变更“355.物件损害责任纠纷”为“381.建筑物和物件损害责任纠纷”，变更“366.因申请诉前财产保全损害责任纠纷”为“392.因申请财产保全损害责任纠纷”；增加“393.因申请行为保全损害责任纠纷”；变更“367.因申请诉前证据保全损害责任纠纷”为“394.因申请证据保全损害责任纠纷”，删去“368.因申请诉中财产保全损害责任纠纷”“369.因申请诉中证据保全损害责任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29.在第二级案由“三十二、宣告失踪、宣告死亡案件”项下：变更“372.申请宣告公民失踪”为“397.申请宣告自然人失踪”，变更“373.申请撤销宣告失踪”为“398.申请撤销宣告失踪判决”，变更“375.失踪人债务支付纠纷”为新增加的第二级案由“五十一、与宣告失踪、宣告死亡案件有关的纠纷”项下的第三级案由“464.失踪人债务支付纠纷”，变更“376.申请宣告公民死亡”为“400.申请宣告自然人死亡”，变更“377.申请撤销宣告公民死亡”为“401.申请撤销宣告自然人死亡判决”，变更“378.被撤销死亡宣告人请求返还财产纠纷”为新增加的第二级案由“五十一、与宣告失踪、宣告死亡案件有关的纠纷”项下的第三级案由“465.被撤销死亡宣告人请求返还财产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30.在新变更的第二级案由“三十四、认定自然人无民事行为能力、限制民事行为能力案件”项下：变更“379.申请宣告公民无民事行为能力”为“402.申请宣告自然人无民事行为能力”，变更“380.申请宣告公民限制民事行为能力”为“403.申请宣告自然人限制民事行为能力”，变更“381.申请宣告公民恢复限制民事行为能力”为“404.申请宣告自然人恢复限制民事行为能力”，变更“382.申请宣告公民恢复完全民事行为能力”为“405.申请宣告自然人恢复完全民事行为能力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lastRenderedPageBreak/>
        <w:t xml:space="preserve">　　31.在新增加的第二级案由“三十五、指定遗产管理人案件”项下：增加“406.申请指定遗产管理人”。　　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32.在第二级案由“三十四、认定财产无主案件”项下：变更“384.申请撤销认定财产无主”为“408.申请撤销认定财产无主判决”。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33.在新增加的第二级案由“三十七、确认调解协议案件”项下：增加“409.申请司法确认调解协议”“410.申请撤销确认调解协议裁定”。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34.在新增加的第二级案由“三十八、实现担保物权案件”项下：增加“411.申请实现担保物权”“412.申请撤销准许实现担保物权裁定”。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35.在第二级案由“三十五、监护权特别程序案件”项下：增加“414.申请指定监护人”“417.申请恢复监护人资格”。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36.在新增加的第二级案由“四十三、破产程序案件”项下：增加“424.申请对破产财产追加分配”。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37.在第二级案由“三十八、申请诉前停止侵害知识产权案件”项下：增加“429.申请诉前停止侵害计算机软件著作权”“430.申请诉前停止侵害集成电路布图设计专用权”。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38.在第二级案由“三十九、申请保全案件”项下：删去“395.申请诉中财产保全”；增加“432.申请诉前行为保全”；删去“397.申请诉中证据保全”；增加“434.申请仲裁前财产保全”“435.申请仲裁前行为保全”“436.申请仲裁前证据保全”“439.申请执行前财产保全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39.在新增加的第二级案由“四十六、申请人身安全保护令案件”项下：增加“442.申请人身安全保护令”。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40.在新增加的第二级案由“四十七、申请人格权侵害禁令案件”项下：增加“443.申请人格权侵害禁令”。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41.在新增加的第二级案由“五十二、公益诉讼”项下：增加“466.</w:t>
      </w:r>
      <w:r w:rsidRPr="00782765">
        <w:rPr>
          <w:rFonts w:ascii="仿宋_GB2312" w:eastAsia="仿宋_GB2312" w:hAnsi="宋体" w:cs="宋体" w:hint="eastAsia"/>
          <w:sz w:val="30"/>
          <w:szCs w:val="30"/>
        </w:rPr>
        <w:lastRenderedPageBreak/>
        <w:t>生态环境保护民事公益诉讼”“467.英雄烈士保护民事公益诉讼”“468.未成年人保护民事公益诉讼”“469.消费者权益保护民事公益诉讼”。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42.在新增加的第二级案由“五十三、第三人撤销之诉”项下：增加“470.第三人撤销之诉”。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43.在新变更的第二级案由“五十四、执行程序中的异议之诉”项下：增加“471.执行异议之诉”；变更“422.案外人执行异议之诉”“423.申请执行人执行异议之诉”为新增加的第三级案由“471.执行异议之诉”项下的第四级案由“（1）案外人执行异议之诉”“（2）申请执行人执行异议之诉”；增加“472.追加、变更被执行人异议之诉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四、修改第四级案由49个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44.在新变更的第三级案由“8.隐私权、个人信息保护纠纷”项下：增加“（1）隐私权纠纷”“（2）个人信息保护纠纷”。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45.在新增加的第三级案由“21.亲子关系纠纷”项下：增加“（1）确认亲子关系纠纷”“（2）否认亲子关系纠纷”。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46.在第三级案由“48.共有纠纷”项下：增加“（4）债权人代位析产纠纷”。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47.在第三级案由“59.抵押权纠纷”项下：变更“（4）土地承包经营权抵押权纠纷”为“（4）土地经营权抵押权纠纷”；增加“（5）探矿权抵押权纠纷”“（6）采矿权抵押权纠纷”“（7）海域使用权抵押权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48.在第三级案由“74.买卖合同纠纷”项下：增加“（4）所有权保留买卖合同纠纷”；变更“（6）网络购物合同纠纷”为“（8）信息网络买卖合同纠纷”；删去“（7）电视购物合同纠纷”。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49.在第三级案由“89.借款合同纠纷”项下：删去“（3）企业借</w:t>
      </w:r>
      <w:r w:rsidRPr="00782765">
        <w:rPr>
          <w:rFonts w:ascii="仿宋_GB2312" w:eastAsia="仿宋_GB2312" w:hAnsi="宋体" w:cs="宋体" w:hint="eastAsia"/>
          <w:sz w:val="30"/>
          <w:szCs w:val="30"/>
        </w:rPr>
        <w:lastRenderedPageBreak/>
        <w:t>贷纠纷”。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50.在第三级案由“104.委托合同纠纷”项下：增加“（5）销售代理合同纠纷”。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51.在新变更的第三级案由“135.土地承包经营权合同纠纷”项下：删去“（1）土地承包经营权转包合同纠纷”；变更“（4）土地承包经营权入股合同纠纷”为“（3）土地经营权入股合同纠纷”，变更“（5）土地承包经营权抵押合同纠纷”为“（4）土地经营权抵押合同纠纷”，变更“（6）土地承包经营权出租合同纠纷”为 “（5）土地经营权出租合同纠纷”。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52.在第三级案由“120.服务合同纠纷”项下：变更“（2）邮寄服务合同纠纷”为“（2）邮政服务合同纠纷”；增加“（3）快递服务合同纠纷”；变更“（15）物业服务合同纠纷”为第三级案由“121.物业服务合同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53.在第三级案由“136.技术合同纠纷”项下：增加“（5）技术许可合同纠纷”。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54.在第三级案由“144.专利权权属、侵权纠纷”项下：增加“（10）标准必要专利使用费纠纷”。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55.在第三级案由“157.仿冒纠纷”项下：变更“（1）擅自使用知名商品特有名称、包装、装潢纠纷”为“（1）擅自使用与他人有一定影响的商品名称、包装、装潢等相同或者近似的标识纠纷”，变更“（2）擅自使用他人企业名称、姓名纠纷”为“（2）擅自使用他人有一定影响的企业名称、社会组织名称、姓名纠纷”；删去“（3）伪造、冒用产品质量标志纠纷”“（4）伪造产地纠纷”；增加“（3）擅自使用他人有一定影响的域名主体部分、网站名称、网页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lastRenderedPageBreak/>
        <w:t xml:space="preserve">　　56.在第三级案由“172.人事争议”项下：变更“（1）辞职争议”为第三级案由“191.辞职纠纷”，变更“（2）辞退争议”为第三级案由“192.辞退纠纷”，变更“（3）聘用合同争议”为第三级案由“189.聘用合同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57.在新变更的第三级案由“277.损害公司债权人利益责任纠纷”项下：增加“（1）股东损害公司债权人利益责任纠纷”“（2）实际控制人损害公司债权人利益责任纠纷”。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58.在第三级案由“346.网络侵权责任纠纷”项下：增加“（1）网络侵害虚拟财产纠纷”。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59.在第三级案由“347.违反安全保障义务责任纠纷”项下：变更“（1）公共场所管理人责任纠纷”为“（1）经营场所、公共场所的经营者、管理者责任纠纷”。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60.在第三级案由“352.环境污染责任纠纷”项下：增加“（7）光污染责任纠纷”；将“（3）噪声污染责任纠纷”“（4）放射性污染责任纠纷”“（5）土壤污染责任纠纷”“（6）电子废物污染责任纠纷”“（7）固体废物污染责任纠纷”的顺序调整为“（3）土壤污染责任纠纷”“（4）电子废物污染责任纠纷”“（5）固体废物污染责任纠纷”“（6）噪声污染责任纠纷”“（8）放射性污染责任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61.在第三级案由“353.高度危险责任纠纷”项下：变更“（1）民用核设施损害责任纠纷”为“（1）民用核设施、核材料损害责任纠纷”。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62.在新变更的三级案由“381.建筑物和物件损害责任纠纷”项下：变更“（2）建筑物、构筑物倒塌损害责任纠纷”为“（2）建筑物、构筑物倒塌、塌陷损害责任纠纷”，变更“（3）不明抛掷物、坠落物损害责任纠纷”为“（3）高空抛物、坠物损害责任纠纷”，变更“（4）堆放</w:t>
      </w:r>
      <w:r w:rsidRPr="00782765">
        <w:rPr>
          <w:rFonts w:ascii="仿宋_GB2312" w:eastAsia="仿宋_GB2312" w:hAnsi="宋体" w:cs="宋体" w:hint="eastAsia"/>
          <w:sz w:val="30"/>
          <w:szCs w:val="30"/>
        </w:rPr>
        <w:lastRenderedPageBreak/>
        <w:t>物倒塌致害责任纠纷”为“（4）堆放物倒塌、滚落、滑落损害责任纠纷”，变更“（6）林木折断损害责任纠纷”为“（6）林木折断、倾倒、果实坠落损害责任纠纷”。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63.在新增加的第三级案由“466.生态环境保护民事公益诉讼”项下：增加“（1）环境污染民事公益诉讼”“（2）生态破坏民事公益诉讼”“（3）生态环境损害赔偿诉讼”。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本决定自2021年1月1日起施行。</w:t>
      </w:r>
    </w:p>
    <w:p w:rsidR="00782765" w:rsidRPr="00782765" w:rsidRDefault="00782765" w:rsidP="00D5076C">
      <w:pPr>
        <w:pStyle w:val="a7"/>
        <w:rPr>
          <w:rFonts w:ascii="仿宋_GB2312" w:eastAsia="仿宋_GB2312" w:hAnsi="宋体" w:cs="宋体" w:hint="eastAsia"/>
          <w:sz w:val="30"/>
          <w:szCs w:val="30"/>
        </w:rPr>
      </w:pPr>
      <w:r w:rsidRPr="00782765">
        <w:rPr>
          <w:rFonts w:ascii="仿宋_GB2312" w:eastAsia="仿宋_GB2312" w:hAnsi="宋体" w:cs="宋体" w:hint="eastAsia"/>
          <w:sz w:val="30"/>
          <w:szCs w:val="30"/>
        </w:rPr>
        <w:t xml:space="preserve">　　《民事案件案由规定》根据本决定作修改并对条文顺序作调整后，重新公布。</w:t>
      </w:r>
    </w:p>
    <w:p w:rsidR="00782765" w:rsidRPr="001229FB" w:rsidRDefault="00782765" w:rsidP="00D5076C">
      <w:pPr>
        <w:pStyle w:val="a7"/>
        <w:rPr>
          <w:rFonts w:hAnsi="宋体" w:cs="宋体" w:hint="eastAsia"/>
        </w:rPr>
      </w:pPr>
    </w:p>
    <w:p w:rsidR="00782765" w:rsidRDefault="00782765" w:rsidP="00D5076C">
      <w:pPr>
        <w:pStyle w:val="a7"/>
        <w:rPr>
          <w:rFonts w:hAnsi="宋体" w:cs="宋体"/>
        </w:rPr>
      </w:pPr>
    </w:p>
    <w:p w:rsidR="00A42E51" w:rsidRDefault="00A42E51" w:rsidP="00A42E51">
      <w:pPr>
        <w:spacing w:line="576" w:lineRule="exact"/>
        <w:ind w:firstLineChars="177" w:firstLine="552"/>
        <w:rPr>
          <w:rFonts w:ascii="楷体_GB2312" w:eastAsia="楷体_GB2312" w:hAnsi="Times New Roman" w:hint="eastAsia"/>
          <w:spacing w:val="-4"/>
          <w:sz w:val="32"/>
          <w:szCs w:val="32"/>
        </w:rPr>
      </w:pPr>
    </w:p>
    <w:p w:rsidR="00782765" w:rsidRDefault="00782765" w:rsidP="00A42E51">
      <w:pPr>
        <w:spacing w:line="576" w:lineRule="exact"/>
        <w:ind w:firstLineChars="177" w:firstLine="552"/>
        <w:rPr>
          <w:rFonts w:ascii="楷体_GB2312" w:eastAsia="楷体_GB2312" w:hAnsi="Times New Roman" w:hint="eastAsia"/>
          <w:spacing w:val="-4"/>
          <w:sz w:val="32"/>
          <w:szCs w:val="32"/>
        </w:rPr>
      </w:pPr>
    </w:p>
    <w:p w:rsidR="00782765" w:rsidRDefault="00782765" w:rsidP="00A42E51">
      <w:pPr>
        <w:spacing w:line="576" w:lineRule="exact"/>
        <w:ind w:firstLineChars="177" w:firstLine="552"/>
        <w:rPr>
          <w:rFonts w:ascii="楷体_GB2312" w:eastAsia="楷体_GB2312" w:hAnsi="Times New Roman" w:hint="eastAsia"/>
          <w:spacing w:val="-4"/>
          <w:sz w:val="32"/>
          <w:szCs w:val="32"/>
        </w:rPr>
      </w:pPr>
    </w:p>
    <w:p w:rsidR="00782765" w:rsidRDefault="00782765" w:rsidP="00A42E51">
      <w:pPr>
        <w:spacing w:line="576" w:lineRule="exact"/>
        <w:ind w:firstLineChars="177" w:firstLine="552"/>
        <w:rPr>
          <w:rFonts w:ascii="楷体_GB2312" w:eastAsia="楷体_GB2312" w:hAnsi="Times New Roman" w:hint="eastAsia"/>
          <w:spacing w:val="-4"/>
          <w:sz w:val="32"/>
          <w:szCs w:val="32"/>
        </w:rPr>
      </w:pPr>
    </w:p>
    <w:p w:rsidR="00782765" w:rsidRDefault="00782765" w:rsidP="00A42E51">
      <w:pPr>
        <w:spacing w:line="576" w:lineRule="exact"/>
        <w:ind w:firstLineChars="177" w:firstLine="552"/>
        <w:rPr>
          <w:rFonts w:ascii="楷体_GB2312" w:eastAsia="楷体_GB2312" w:hAnsi="Times New Roman" w:hint="eastAsia"/>
          <w:spacing w:val="-4"/>
          <w:sz w:val="32"/>
          <w:szCs w:val="32"/>
        </w:rPr>
      </w:pPr>
    </w:p>
    <w:p w:rsidR="00782765" w:rsidRDefault="00782765" w:rsidP="00A42E51">
      <w:pPr>
        <w:spacing w:line="576" w:lineRule="exact"/>
        <w:ind w:firstLineChars="177" w:firstLine="552"/>
        <w:rPr>
          <w:rFonts w:ascii="楷体_GB2312" w:eastAsia="楷体_GB2312" w:hAnsi="Times New Roman" w:hint="eastAsia"/>
          <w:spacing w:val="-4"/>
          <w:sz w:val="32"/>
          <w:szCs w:val="32"/>
        </w:rPr>
      </w:pPr>
    </w:p>
    <w:p w:rsidR="00782765" w:rsidRDefault="00782765" w:rsidP="00A42E51">
      <w:pPr>
        <w:spacing w:line="576" w:lineRule="exact"/>
        <w:ind w:firstLineChars="177" w:firstLine="552"/>
        <w:rPr>
          <w:rFonts w:ascii="楷体_GB2312" w:eastAsia="楷体_GB2312" w:hAnsi="Times New Roman" w:hint="eastAsia"/>
          <w:spacing w:val="-4"/>
          <w:sz w:val="32"/>
          <w:szCs w:val="32"/>
        </w:rPr>
      </w:pPr>
    </w:p>
    <w:p w:rsidR="00782765" w:rsidRDefault="00782765" w:rsidP="00A42E51">
      <w:pPr>
        <w:spacing w:line="576" w:lineRule="exact"/>
        <w:ind w:firstLineChars="177" w:firstLine="552"/>
        <w:rPr>
          <w:rFonts w:ascii="楷体_GB2312" w:eastAsia="楷体_GB2312" w:hAnsi="Times New Roman" w:hint="eastAsia"/>
          <w:spacing w:val="-4"/>
          <w:sz w:val="32"/>
          <w:szCs w:val="32"/>
        </w:rPr>
      </w:pPr>
    </w:p>
    <w:p w:rsidR="00782765" w:rsidRPr="00782765" w:rsidRDefault="00782765" w:rsidP="00A42E51">
      <w:pPr>
        <w:spacing w:line="576" w:lineRule="exact"/>
        <w:ind w:firstLineChars="177" w:firstLine="552"/>
        <w:rPr>
          <w:rFonts w:ascii="楷体_GB2312" w:eastAsia="楷体_GB2312" w:hAnsi="Times New Roman"/>
          <w:spacing w:val="-4"/>
          <w:sz w:val="32"/>
          <w:szCs w:val="32"/>
        </w:rPr>
      </w:pPr>
    </w:p>
    <w:p w:rsidR="000B55E7" w:rsidRPr="00A42E51" w:rsidRDefault="00A42E51" w:rsidP="00F1334B">
      <w:pPr>
        <w:widowControl/>
        <w:spacing w:line="576" w:lineRule="exact"/>
        <w:jc w:val="lef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                               </w:t>
      </w:r>
    </w:p>
    <w:p w:rsidR="00A42E51" w:rsidRPr="00A42E51" w:rsidRDefault="00A42E51" w:rsidP="00A42E51">
      <w:pPr>
        <w:pStyle w:val="a7"/>
        <w:rPr>
          <w:rFonts w:ascii="仿宋_GB2312" w:eastAsia="仿宋_GB2312" w:hAnsi="宋体" w:cs="宋体"/>
          <w:sz w:val="30"/>
          <w:szCs w:val="30"/>
        </w:rPr>
      </w:pPr>
      <w:r w:rsidRPr="00A42E51">
        <w:rPr>
          <w:rFonts w:ascii="仿宋_GB2312" w:eastAsia="仿宋_GB2312" w:hAnsi="宋体" w:cs="宋体" w:hint="eastAsia"/>
          <w:sz w:val="30"/>
          <w:szCs w:val="30"/>
        </w:rPr>
        <w:t>最高人民法院办公厅秘书一处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             </w:t>
      </w:r>
      <w:r w:rsidRPr="00A42E51">
        <w:rPr>
          <w:rFonts w:ascii="仿宋_GB2312" w:eastAsia="仿宋_GB2312" w:hAnsi="宋体" w:cs="宋体" w:hint="eastAsia"/>
          <w:sz w:val="30"/>
          <w:szCs w:val="30"/>
        </w:rPr>
        <w:t>2020年</w:t>
      </w:r>
      <w:r w:rsidR="00A07B01">
        <w:rPr>
          <w:rFonts w:ascii="仿宋_GB2312" w:eastAsia="仿宋_GB2312" w:hAnsi="宋体" w:cs="宋体" w:hint="eastAsia"/>
          <w:sz w:val="30"/>
          <w:szCs w:val="30"/>
        </w:rPr>
        <w:t>12</w:t>
      </w:r>
      <w:r w:rsidRPr="00A42E51">
        <w:rPr>
          <w:rFonts w:ascii="仿宋_GB2312" w:eastAsia="仿宋_GB2312" w:hAnsi="宋体" w:cs="宋体" w:hint="eastAsia"/>
          <w:sz w:val="30"/>
          <w:szCs w:val="30"/>
        </w:rPr>
        <w:t>月</w:t>
      </w:r>
      <w:r w:rsidR="00A07B01">
        <w:rPr>
          <w:rFonts w:ascii="仿宋_GB2312" w:eastAsia="仿宋_GB2312" w:hAnsi="宋体" w:cs="宋体" w:hint="eastAsia"/>
          <w:sz w:val="30"/>
          <w:szCs w:val="30"/>
        </w:rPr>
        <w:t>29</w:t>
      </w:r>
      <w:r w:rsidRPr="00A42E51">
        <w:rPr>
          <w:rFonts w:ascii="仿宋_GB2312" w:eastAsia="仿宋_GB2312" w:hAnsi="宋体" w:cs="宋体" w:hint="eastAsia"/>
          <w:sz w:val="30"/>
          <w:szCs w:val="30"/>
        </w:rPr>
        <w:t>日印发</w:t>
      </w:r>
    </w:p>
    <w:p w:rsidR="007143EB" w:rsidRPr="00A42E51" w:rsidRDefault="00A42E51" w:rsidP="00F1334B">
      <w:pPr>
        <w:spacing w:line="576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</w:t>
      </w:r>
    </w:p>
    <w:sectPr w:rsidR="007143EB" w:rsidRPr="00A42E51" w:rsidSect="00FF3A4A">
      <w:footerReference w:type="default" r:id="rId7"/>
      <w:pgSz w:w="11906" w:h="16838"/>
      <w:pgMar w:top="2268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B86" w:rsidRDefault="003C4B86">
      <w:r>
        <w:separator/>
      </w:r>
    </w:p>
  </w:endnote>
  <w:endnote w:type="continuationSeparator" w:id="1">
    <w:p w:rsidR="003C4B86" w:rsidRDefault="003C4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DD" w:rsidRDefault="003B7612">
    <w:pPr>
      <w:pStyle w:val="a3"/>
      <w:jc w:val="center"/>
    </w:pPr>
    <w:fldSimple w:instr=" PAGE   \* MERGEFORMAT ">
      <w:r w:rsidR="00782765" w:rsidRPr="00782765">
        <w:rPr>
          <w:noProof/>
          <w:lang w:val="zh-CN"/>
        </w:rPr>
        <w:t>1</w:t>
      </w:r>
    </w:fldSimple>
  </w:p>
  <w:p w:rsidR="006F2BDD" w:rsidRDefault="006F2B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B86" w:rsidRDefault="003C4B86">
      <w:r>
        <w:separator/>
      </w:r>
    </w:p>
  </w:footnote>
  <w:footnote w:type="continuationSeparator" w:id="1">
    <w:p w:rsidR="003C4B86" w:rsidRDefault="003C4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oa.zg.pcc:80/cap-aco/OfficeServer?encryption=1"/>
  </w:docVars>
  <w:rsids>
    <w:rsidRoot w:val="000B55E7"/>
    <w:rsid w:val="00001BFF"/>
    <w:rsid w:val="00005976"/>
    <w:rsid w:val="00005EF9"/>
    <w:rsid w:val="000101A1"/>
    <w:rsid w:val="00012A60"/>
    <w:rsid w:val="000204F8"/>
    <w:rsid w:val="0002549F"/>
    <w:rsid w:val="000278C3"/>
    <w:rsid w:val="0002795B"/>
    <w:rsid w:val="00027B30"/>
    <w:rsid w:val="00027D80"/>
    <w:rsid w:val="00030192"/>
    <w:rsid w:val="00030766"/>
    <w:rsid w:val="00030A5D"/>
    <w:rsid w:val="00031BF1"/>
    <w:rsid w:val="00032838"/>
    <w:rsid w:val="0004696D"/>
    <w:rsid w:val="00046F10"/>
    <w:rsid w:val="0004737F"/>
    <w:rsid w:val="00054525"/>
    <w:rsid w:val="00055AFD"/>
    <w:rsid w:val="00060F8B"/>
    <w:rsid w:val="00064B1F"/>
    <w:rsid w:val="00065282"/>
    <w:rsid w:val="00065C63"/>
    <w:rsid w:val="00070C7C"/>
    <w:rsid w:val="00075B86"/>
    <w:rsid w:val="0008125F"/>
    <w:rsid w:val="00082112"/>
    <w:rsid w:val="000845A4"/>
    <w:rsid w:val="000869BC"/>
    <w:rsid w:val="00090E81"/>
    <w:rsid w:val="00091107"/>
    <w:rsid w:val="0009182F"/>
    <w:rsid w:val="00094931"/>
    <w:rsid w:val="00095ACD"/>
    <w:rsid w:val="00095C7D"/>
    <w:rsid w:val="000A03AA"/>
    <w:rsid w:val="000A136F"/>
    <w:rsid w:val="000A17C1"/>
    <w:rsid w:val="000A24FB"/>
    <w:rsid w:val="000A5F75"/>
    <w:rsid w:val="000B433B"/>
    <w:rsid w:val="000B55E7"/>
    <w:rsid w:val="000B585D"/>
    <w:rsid w:val="000C16AC"/>
    <w:rsid w:val="000C3A79"/>
    <w:rsid w:val="000C69BF"/>
    <w:rsid w:val="000C6CDC"/>
    <w:rsid w:val="000D512B"/>
    <w:rsid w:val="000E04CC"/>
    <w:rsid w:val="000E0615"/>
    <w:rsid w:val="000E0E8F"/>
    <w:rsid w:val="000E3626"/>
    <w:rsid w:val="000E3CFB"/>
    <w:rsid w:val="000F176C"/>
    <w:rsid w:val="000F4A10"/>
    <w:rsid w:val="000F4DFD"/>
    <w:rsid w:val="000F64BC"/>
    <w:rsid w:val="000F7719"/>
    <w:rsid w:val="00104526"/>
    <w:rsid w:val="00111459"/>
    <w:rsid w:val="00116B0B"/>
    <w:rsid w:val="00117ED4"/>
    <w:rsid w:val="001200BF"/>
    <w:rsid w:val="001207D0"/>
    <w:rsid w:val="00122A2A"/>
    <w:rsid w:val="00126C07"/>
    <w:rsid w:val="00132973"/>
    <w:rsid w:val="00134C46"/>
    <w:rsid w:val="0014136D"/>
    <w:rsid w:val="00142F3B"/>
    <w:rsid w:val="0014437E"/>
    <w:rsid w:val="00144CF6"/>
    <w:rsid w:val="00151D7F"/>
    <w:rsid w:val="001579C5"/>
    <w:rsid w:val="00163A05"/>
    <w:rsid w:val="001654D9"/>
    <w:rsid w:val="00165B4F"/>
    <w:rsid w:val="0016781E"/>
    <w:rsid w:val="00167BBD"/>
    <w:rsid w:val="0017044B"/>
    <w:rsid w:val="00171EF9"/>
    <w:rsid w:val="001732B1"/>
    <w:rsid w:val="00182BD9"/>
    <w:rsid w:val="00186623"/>
    <w:rsid w:val="001869E3"/>
    <w:rsid w:val="001A306B"/>
    <w:rsid w:val="001A5008"/>
    <w:rsid w:val="001A521B"/>
    <w:rsid w:val="001B164F"/>
    <w:rsid w:val="001C51B7"/>
    <w:rsid w:val="001D65DD"/>
    <w:rsid w:val="001E32E0"/>
    <w:rsid w:val="001E3FFF"/>
    <w:rsid w:val="001E5C0F"/>
    <w:rsid w:val="001E6F6A"/>
    <w:rsid w:val="001E7223"/>
    <w:rsid w:val="001F1EBD"/>
    <w:rsid w:val="001F7314"/>
    <w:rsid w:val="001F7EA6"/>
    <w:rsid w:val="00201102"/>
    <w:rsid w:val="00202FFA"/>
    <w:rsid w:val="00210554"/>
    <w:rsid w:val="00212864"/>
    <w:rsid w:val="00223078"/>
    <w:rsid w:val="002242C2"/>
    <w:rsid w:val="002245FF"/>
    <w:rsid w:val="002263CE"/>
    <w:rsid w:val="002264E5"/>
    <w:rsid w:val="00227C1F"/>
    <w:rsid w:val="00231381"/>
    <w:rsid w:val="00232D5C"/>
    <w:rsid w:val="00241752"/>
    <w:rsid w:val="00247585"/>
    <w:rsid w:val="00250171"/>
    <w:rsid w:val="002510CB"/>
    <w:rsid w:val="00252EF1"/>
    <w:rsid w:val="0025451A"/>
    <w:rsid w:val="002557B4"/>
    <w:rsid w:val="00255DC0"/>
    <w:rsid w:val="00256E06"/>
    <w:rsid w:val="0025759E"/>
    <w:rsid w:val="00257A29"/>
    <w:rsid w:val="00260A09"/>
    <w:rsid w:val="00260DFE"/>
    <w:rsid w:val="00261540"/>
    <w:rsid w:val="002644FC"/>
    <w:rsid w:val="002652E1"/>
    <w:rsid w:val="00270FAC"/>
    <w:rsid w:val="00272971"/>
    <w:rsid w:val="00273807"/>
    <w:rsid w:val="0028486A"/>
    <w:rsid w:val="0029062D"/>
    <w:rsid w:val="00292B24"/>
    <w:rsid w:val="0029629B"/>
    <w:rsid w:val="002970D6"/>
    <w:rsid w:val="002A0A06"/>
    <w:rsid w:val="002B0D1F"/>
    <w:rsid w:val="002B390B"/>
    <w:rsid w:val="002B4492"/>
    <w:rsid w:val="002B65B1"/>
    <w:rsid w:val="002C5C78"/>
    <w:rsid w:val="002D03AF"/>
    <w:rsid w:val="002D2062"/>
    <w:rsid w:val="002D2A45"/>
    <w:rsid w:val="002D62AA"/>
    <w:rsid w:val="002D6C22"/>
    <w:rsid w:val="002E1A63"/>
    <w:rsid w:val="002E3A5E"/>
    <w:rsid w:val="002E6A2B"/>
    <w:rsid w:val="002E726B"/>
    <w:rsid w:val="00302EE1"/>
    <w:rsid w:val="00305626"/>
    <w:rsid w:val="00313736"/>
    <w:rsid w:val="003155E5"/>
    <w:rsid w:val="003226EC"/>
    <w:rsid w:val="00323174"/>
    <w:rsid w:val="00333FB7"/>
    <w:rsid w:val="00337234"/>
    <w:rsid w:val="00342A0B"/>
    <w:rsid w:val="00346833"/>
    <w:rsid w:val="00347F13"/>
    <w:rsid w:val="0036090E"/>
    <w:rsid w:val="00361072"/>
    <w:rsid w:val="00362018"/>
    <w:rsid w:val="00380751"/>
    <w:rsid w:val="003823A8"/>
    <w:rsid w:val="003839A2"/>
    <w:rsid w:val="00385FAE"/>
    <w:rsid w:val="003907A0"/>
    <w:rsid w:val="00391DE7"/>
    <w:rsid w:val="00392C53"/>
    <w:rsid w:val="003944E0"/>
    <w:rsid w:val="00396679"/>
    <w:rsid w:val="003977CA"/>
    <w:rsid w:val="003A2205"/>
    <w:rsid w:val="003B4A93"/>
    <w:rsid w:val="003B7612"/>
    <w:rsid w:val="003C196D"/>
    <w:rsid w:val="003C374C"/>
    <w:rsid w:val="003C3D81"/>
    <w:rsid w:val="003C4259"/>
    <w:rsid w:val="003C4B86"/>
    <w:rsid w:val="003C504B"/>
    <w:rsid w:val="003C561D"/>
    <w:rsid w:val="003C6640"/>
    <w:rsid w:val="003D0349"/>
    <w:rsid w:val="003D0A7C"/>
    <w:rsid w:val="003D3292"/>
    <w:rsid w:val="003D6890"/>
    <w:rsid w:val="003D7B48"/>
    <w:rsid w:val="003E70D1"/>
    <w:rsid w:val="003F1BB5"/>
    <w:rsid w:val="003F7BE2"/>
    <w:rsid w:val="0040123A"/>
    <w:rsid w:val="00413C2F"/>
    <w:rsid w:val="0041526F"/>
    <w:rsid w:val="00416357"/>
    <w:rsid w:val="004270A9"/>
    <w:rsid w:val="00430421"/>
    <w:rsid w:val="00431F51"/>
    <w:rsid w:val="004327C0"/>
    <w:rsid w:val="00435FC8"/>
    <w:rsid w:val="00436EFC"/>
    <w:rsid w:val="00440150"/>
    <w:rsid w:val="00443053"/>
    <w:rsid w:val="00446536"/>
    <w:rsid w:val="00454C8D"/>
    <w:rsid w:val="0045515E"/>
    <w:rsid w:val="00462031"/>
    <w:rsid w:val="00465075"/>
    <w:rsid w:val="00473429"/>
    <w:rsid w:val="00473850"/>
    <w:rsid w:val="00477E41"/>
    <w:rsid w:val="0048171C"/>
    <w:rsid w:val="0048380F"/>
    <w:rsid w:val="004858B2"/>
    <w:rsid w:val="00491104"/>
    <w:rsid w:val="00497D36"/>
    <w:rsid w:val="004A2889"/>
    <w:rsid w:val="004A330A"/>
    <w:rsid w:val="004A3D47"/>
    <w:rsid w:val="004A624F"/>
    <w:rsid w:val="004B42DD"/>
    <w:rsid w:val="004B5032"/>
    <w:rsid w:val="004B68D0"/>
    <w:rsid w:val="004C4135"/>
    <w:rsid w:val="004C7ED1"/>
    <w:rsid w:val="004D1312"/>
    <w:rsid w:val="004D35AC"/>
    <w:rsid w:val="004D6CA3"/>
    <w:rsid w:val="004D7904"/>
    <w:rsid w:val="004E4333"/>
    <w:rsid w:val="004E43A1"/>
    <w:rsid w:val="004E58BA"/>
    <w:rsid w:val="004F04AD"/>
    <w:rsid w:val="004F43AA"/>
    <w:rsid w:val="004F4ACD"/>
    <w:rsid w:val="004F544F"/>
    <w:rsid w:val="004F5A1E"/>
    <w:rsid w:val="005007A2"/>
    <w:rsid w:val="0051134B"/>
    <w:rsid w:val="00514C2B"/>
    <w:rsid w:val="00517186"/>
    <w:rsid w:val="00517319"/>
    <w:rsid w:val="005205CD"/>
    <w:rsid w:val="0052256B"/>
    <w:rsid w:val="00523841"/>
    <w:rsid w:val="00535834"/>
    <w:rsid w:val="00536085"/>
    <w:rsid w:val="00540F95"/>
    <w:rsid w:val="00542791"/>
    <w:rsid w:val="0054717E"/>
    <w:rsid w:val="0055638F"/>
    <w:rsid w:val="00564F10"/>
    <w:rsid w:val="00565FAB"/>
    <w:rsid w:val="005673C0"/>
    <w:rsid w:val="00567974"/>
    <w:rsid w:val="005714EB"/>
    <w:rsid w:val="005753D6"/>
    <w:rsid w:val="00582329"/>
    <w:rsid w:val="005848C8"/>
    <w:rsid w:val="0058496E"/>
    <w:rsid w:val="005865D7"/>
    <w:rsid w:val="0059528A"/>
    <w:rsid w:val="005A0115"/>
    <w:rsid w:val="005A2FC0"/>
    <w:rsid w:val="005B069B"/>
    <w:rsid w:val="005B6D32"/>
    <w:rsid w:val="005C1F63"/>
    <w:rsid w:val="005C4B00"/>
    <w:rsid w:val="005C5C4B"/>
    <w:rsid w:val="005C5C84"/>
    <w:rsid w:val="005C5D60"/>
    <w:rsid w:val="005C7826"/>
    <w:rsid w:val="005D1973"/>
    <w:rsid w:val="005D3F99"/>
    <w:rsid w:val="005D6205"/>
    <w:rsid w:val="005F182C"/>
    <w:rsid w:val="005F3888"/>
    <w:rsid w:val="005F573A"/>
    <w:rsid w:val="005F715A"/>
    <w:rsid w:val="00600D88"/>
    <w:rsid w:val="00601610"/>
    <w:rsid w:val="006030BC"/>
    <w:rsid w:val="00603BF9"/>
    <w:rsid w:val="006062BC"/>
    <w:rsid w:val="00606362"/>
    <w:rsid w:val="00611DD3"/>
    <w:rsid w:val="00613B73"/>
    <w:rsid w:val="00616AA6"/>
    <w:rsid w:val="0062086E"/>
    <w:rsid w:val="00621E08"/>
    <w:rsid w:val="0062368C"/>
    <w:rsid w:val="00625445"/>
    <w:rsid w:val="00633455"/>
    <w:rsid w:val="00634B4F"/>
    <w:rsid w:val="00640514"/>
    <w:rsid w:val="0064371E"/>
    <w:rsid w:val="0064448A"/>
    <w:rsid w:val="00647C96"/>
    <w:rsid w:val="00650C7D"/>
    <w:rsid w:val="00652FFE"/>
    <w:rsid w:val="00670530"/>
    <w:rsid w:val="00671C79"/>
    <w:rsid w:val="00671F7C"/>
    <w:rsid w:val="00676A88"/>
    <w:rsid w:val="00680817"/>
    <w:rsid w:val="0068346F"/>
    <w:rsid w:val="00687BC6"/>
    <w:rsid w:val="00697F51"/>
    <w:rsid w:val="006A1A20"/>
    <w:rsid w:val="006A61F5"/>
    <w:rsid w:val="006B2A5F"/>
    <w:rsid w:val="006B2B5B"/>
    <w:rsid w:val="006D4A94"/>
    <w:rsid w:val="006D7936"/>
    <w:rsid w:val="006E5C03"/>
    <w:rsid w:val="006F2BDD"/>
    <w:rsid w:val="006F3886"/>
    <w:rsid w:val="006F3E00"/>
    <w:rsid w:val="006F3FDF"/>
    <w:rsid w:val="006F4DED"/>
    <w:rsid w:val="006F6317"/>
    <w:rsid w:val="007045C7"/>
    <w:rsid w:val="007079FA"/>
    <w:rsid w:val="007143EB"/>
    <w:rsid w:val="00716456"/>
    <w:rsid w:val="0071669A"/>
    <w:rsid w:val="00727F86"/>
    <w:rsid w:val="00731F56"/>
    <w:rsid w:val="0073569C"/>
    <w:rsid w:val="00736313"/>
    <w:rsid w:val="00742387"/>
    <w:rsid w:val="00743BBD"/>
    <w:rsid w:val="0074525C"/>
    <w:rsid w:val="00746587"/>
    <w:rsid w:val="0075007E"/>
    <w:rsid w:val="0075225F"/>
    <w:rsid w:val="00756494"/>
    <w:rsid w:val="00756762"/>
    <w:rsid w:val="00757A7F"/>
    <w:rsid w:val="00765D9B"/>
    <w:rsid w:val="007721DB"/>
    <w:rsid w:val="00777958"/>
    <w:rsid w:val="00780782"/>
    <w:rsid w:val="00782765"/>
    <w:rsid w:val="00787114"/>
    <w:rsid w:val="00792E7C"/>
    <w:rsid w:val="0079328C"/>
    <w:rsid w:val="00793723"/>
    <w:rsid w:val="0079590A"/>
    <w:rsid w:val="007A569A"/>
    <w:rsid w:val="007A56F9"/>
    <w:rsid w:val="007B2AAF"/>
    <w:rsid w:val="007B6A14"/>
    <w:rsid w:val="007B6A91"/>
    <w:rsid w:val="007D2220"/>
    <w:rsid w:val="007E7184"/>
    <w:rsid w:val="007F2F06"/>
    <w:rsid w:val="007F31EA"/>
    <w:rsid w:val="007F46B4"/>
    <w:rsid w:val="0080638C"/>
    <w:rsid w:val="00811C11"/>
    <w:rsid w:val="00811E36"/>
    <w:rsid w:val="00814C46"/>
    <w:rsid w:val="008161AD"/>
    <w:rsid w:val="008208A6"/>
    <w:rsid w:val="00824623"/>
    <w:rsid w:val="00826C36"/>
    <w:rsid w:val="008279E3"/>
    <w:rsid w:val="00830448"/>
    <w:rsid w:val="008350B1"/>
    <w:rsid w:val="00843B6E"/>
    <w:rsid w:val="008501F6"/>
    <w:rsid w:val="0085060E"/>
    <w:rsid w:val="00852F68"/>
    <w:rsid w:val="00854692"/>
    <w:rsid w:val="008565E4"/>
    <w:rsid w:val="00863CBA"/>
    <w:rsid w:val="00864E9E"/>
    <w:rsid w:val="00867F2D"/>
    <w:rsid w:val="008801EB"/>
    <w:rsid w:val="00880253"/>
    <w:rsid w:val="008806F0"/>
    <w:rsid w:val="00881597"/>
    <w:rsid w:val="00884343"/>
    <w:rsid w:val="00884816"/>
    <w:rsid w:val="008903C8"/>
    <w:rsid w:val="008A1F85"/>
    <w:rsid w:val="008A6527"/>
    <w:rsid w:val="008A6FC2"/>
    <w:rsid w:val="008B0389"/>
    <w:rsid w:val="008B4570"/>
    <w:rsid w:val="008C1793"/>
    <w:rsid w:val="008C422B"/>
    <w:rsid w:val="008D2C0A"/>
    <w:rsid w:val="008D45E9"/>
    <w:rsid w:val="008D4F47"/>
    <w:rsid w:val="008D61A2"/>
    <w:rsid w:val="008E2984"/>
    <w:rsid w:val="008E7A4F"/>
    <w:rsid w:val="008F5060"/>
    <w:rsid w:val="008F6A4B"/>
    <w:rsid w:val="008F7395"/>
    <w:rsid w:val="009022FC"/>
    <w:rsid w:val="009024E5"/>
    <w:rsid w:val="0090486C"/>
    <w:rsid w:val="00905662"/>
    <w:rsid w:val="0090692A"/>
    <w:rsid w:val="00910792"/>
    <w:rsid w:val="00914539"/>
    <w:rsid w:val="009175F5"/>
    <w:rsid w:val="00920938"/>
    <w:rsid w:val="0092149C"/>
    <w:rsid w:val="009248EB"/>
    <w:rsid w:val="009263DF"/>
    <w:rsid w:val="00927D68"/>
    <w:rsid w:val="009300F9"/>
    <w:rsid w:val="0093325E"/>
    <w:rsid w:val="00936244"/>
    <w:rsid w:val="00941C24"/>
    <w:rsid w:val="0094202A"/>
    <w:rsid w:val="009554FB"/>
    <w:rsid w:val="009567C7"/>
    <w:rsid w:val="00956BC8"/>
    <w:rsid w:val="009605A9"/>
    <w:rsid w:val="00960725"/>
    <w:rsid w:val="00960AB8"/>
    <w:rsid w:val="00960F70"/>
    <w:rsid w:val="009641A4"/>
    <w:rsid w:val="009672F9"/>
    <w:rsid w:val="00983E17"/>
    <w:rsid w:val="0098406E"/>
    <w:rsid w:val="00987485"/>
    <w:rsid w:val="00987E13"/>
    <w:rsid w:val="00990E75"/>
    <w:rsid w:val="009914D1"/>
    <w:rsid w:val="009A1DC0"/>
    <w:rsid w:val="009A72A8"/>
    <w:rsid w:val="009B22B1"/>
    <w:rsid w:val="009B2755"/>
    <w:rsid w:val="009B28CC"/>
    <w:rsid w:val="009B480E"/>
    <w:rsid w:val="009B6F5E"/>
    <w:rsid w:val="009C11FB"/>
    <w:rsid w:val="009C4A22"/>
    <w:rsid w:val="009C6D88"/>
    <w:rsid w:val="009D1476"/>
    <w:rsid w:val="009D291A"/>
    <w:rsid w:val="009D31A9"/>
    <w:rsid w:val="009D3675"/>
    <w:rsid w:val="009D3C81"/>
    <w:rsid w:val="009D5A47"/>
    <w:rsid w:val="009D7040"/>
    <w:rsid w:val="009E2131"/>
    <w:rsid w:val="009F0BBE"/>
    <w:rsid w:val="009F356E"/>
    <w:rsid w:val="009F48BC"/>
    <w:rsid w:val="009F7A3F"/>
    <w:rsid w:val="00A002CC"/>
    <w:rsid w:val="00A002E5"/>
    <w:rsid w:val="00A01018"/>
    <w:rsid w:val="00A05CA5"/>
    <w:rsid w:val="00A062D7"/>
    <w:rsid w:val="00A079C5"/>
    <w:rsid w:val="00A07B01"/>
    <w:rsid w:val="00A12019"/>
    <w:rsid w:val="00A157D0"/>
    <w:rsid w:val="00A24689"/>
    <w:rsid w:val="00A25DE0"/>
    <w:rsid w:val="00A26D39"/>
    <w:rsid w:val="00A42E51"/>
    <w:rsid w:val="00A43EAA"/>
    <w:rsid w:val="00A44917"/>
    <w:rsid w:val="00A45952"/>
    <w:rsid w:val="00A52493"/>
    <w:rsid w:val="00A53D44"/>
    <w:rsid w:val="00A544E8"/>
    <w:rsid w:val="00A545A6"/>
    <w:rsid w:val="00A55363"/>
    <w:rsid w:val="00A62B01"/>
    <w:rsid w:val="00A635E0"/>
    <w:rsid w:val="00A648EC"/>
    <w:rsid w:val="00A65C54"/>
    <w:rsid w:val="00A75A33"/>
    <w:rsid w:val="00A770B0"/>
    <w:rsid w:val="00A80D21"/>
    <w:rsid w:val="00A80DA6"/>
    <w:rsid w:val="00A82402"/>
    <w:rsid w:val="00A8306D"/>
    <w:rsid w:val="00A8417E"/>
    <w:rsid w:val="00A84F13"/>
    <w:rsid w:val="00A93980"/>
    <w:rsid w:val="00A96748"/>
    <w:rsid w:val="00AA54B0"/>
    <w:rsid w:val="00AA5B68"/>
    <w:rsid w:val="00AA5DC4"/>
    <w:rsid w:val="00AA6EDD"/>
    <w:rsid w:val="00AB1EC0"/>
    <w:rsid w:val="00AB2F4F"/>
    <w:rsid w:val="00AB3C92"/>
    <w:rsid w:val="00AB7C52"/>
    <w:rsid w:val="00AC4ED7"/>
    <w:rsid w:val="00AC7110"/>
    <w:rsid w:val="00AC7460"/>
    <w:rsid w:val="00AC7E8C"/>
    <w:rsid w:val="00AE1E02"/>
    <w:rsid w:val="00AE382D"/>
    <w:rsid w:val="00AE48F1"/>
    <w:rsid w:val="00AF02B9"/>
    <w:rsid w:val="00AF3E35"/>
    <w:rsid w:val="00AF4776"/>
    <w:rsid w:val="00B00929"/>
    <w:rsid w:val="00B02D3A"/>
    <w:rsid w:val="00B100FE"/>
    <w:rsid w:val="00B1019D"/>
    <w:rsid w:val="00B10937"/>
    <w:rsid w:val="00B160C7"/>
    <w:rsid w:val="00B169C3"/>
    <w:rsid w:val="00B25DE9"/>
    <w:rsid w:val="00B314AB"/>
    <w:rsid w:val="00B321E2"/>
    <w:rsid w:val="00B324D0"/>
    <w:rsid w:val="00B32BBF"/>
    <w:rsid w:val="00B359CE"/>
    <w:rsid w:val="00B360B8"/>
    <w:rsid w:val="00B42DF6"/>
    <w:rsid w:val="00B46405"/>
    <w:rsid w:val="00B4678B"/>
    <w:rsid w:val="00B46D75"/>
    <w:rsid w:val="00B525E0"/>
    <w:rsid w:val="00B5264C"/>
    <w:rsid w:val="00B60FF7"/>
    <w:rsid w:val="00B63981"/>
    <w:rsid w:val="00B6691E"/>
    <w:rsid w:val="00B73D89"/>
    <w:rsid w:val="00B753F5"/>
    <w:rsid w:val="00B77504"/>
    <w:rsid w:val="00B84DC4"/>
    <w:rsid w:val="00B84E8D"/>
    <w:rsid w:val="00B8631F"/>
    <w:rsid w:val="00B9225A"/>
    <w:rsid w:val="00B9513F"/>
    <w:rsid w:val="00BA6E59"/>
    <w:rsid w:val="00BA7B6B"/>
    <w:rsid w:val="00BB16B9"/>
    <w:rsid w:val="00BB7460"/>
    <w:rsid w:val="00BC2FBF"/>
    <w:rsid w:val="00BC4869"/>
    <w:rsid w:val="00BD10FD"/>
    <w:rsid w:val="00BD1C6A"/>
    <w:rsid w:val="00BD4CDA"/>
    <w:rsid w:val="00BD512B"/>
    <w:rsid w:val="00BD522A"/>
    <w:rsid w:val="00BD6ADA"/>
    <w:rsid w:val="00BD7124"/>
    <w:rsid w:val="00BE31E9"/>
    <w:rsid w:val="00BE36E6"/>
    <w:rsid w:val="00BF00EB"/>
    <w:rsid w:val="00BF5BD0"/>
    <w:rsid w:val="00C021B8"/>
    <w:rsid w:val="00C03C7F"/>
    <w:rsid w:val="00C11E58"/>
    <w:rsid w:val="00C11F75"/>
    <w:rsid w:val="00C16A79"/>
    <w:rsid w:val="00C25224"/>
    <w:rsid w:val="00C30B69"/>
    <w:rsid w:val="00C322B5"/>
    <w:rsid w:val="00C43C17"/>
    <w:rsid w:val="00C4402B"/>
    <w:rsid w:val="00C5318A"/>
    <w:rsid w:val="00C54739"/>
    <w:rsid w:val="00C578DC"/>
    <w:rsid w:val="00C63BC5"/>
    <w:rsid w:val="00C641AA"/>
    <w:rsid w:val="00C71D6A"/>
    <w:rsid w:val="00C71DFE"/>
    <w:rsid w:val="00C73CF8"/>
    <w:rsid w:val="00C74EAB"/>
    <w:rsid w:val="00C8107D"/>
    <w:rsid w:val="00C83C3B"/>
    <w:rsid w:val="00C86009"/>
    <w:rsid w:val="00C86948"/>
    <w:rsid w:val="00C901E0"/>
    <w:rsid w:val="00C9109D"/>
    <w:rsid w:val="00C97482"/>
    <w:rsid w:val="00C97B5B"/>
    <w:rsid w:val="00CA0154"/>
    <w:rsid w:val="00CA0CF0"/>
    <w:rsid w:val="00CA1206"/>
    <w:rsid w:val="00CA51FD"/>
    <w:rsid w:val="00CA5582"/>
    <w:rsid w:val="00CC217A"/>
    <w:rsid w:val="00CC24AB"/>
    <w:rsid w:val="00CC2DB2"/>
    <w:rsid w:val="00CC3837"/>
    <w:rsid w:val="00CC45F4"/>
    <w:rsid w:val="00CD0411"/>
    <w:rsid w:val="00CD4297"/>
    <w:rsid w:val="00CD5B2B"/>
    <w:rsid w:val="00CE4D44"/>
    <w:rsid w:val="00CE5C28"/>
    <w:rsid w:val="00CE678D"/>
    <w:rsid w:val="00CE77F4"/>
    <w:rsid w:val="00CF44D6"/>
    <w:rsid w:val="00CF6C03"/>
    <w:rsid w:val="00D0295A"/>
    <w:rsid w:val="00D0565C"/>
    <w:rsid w:val="00D05A75"/>
    <w:rsid w:val="00D11EA8"/>
    <w:rsid w:val="00D141E0"/>
    <w:rsid w:val="00D17E06"/>
    <w:rsid w:val="00D20B26"/>
    <w:rsid w:val="00D21300"/>
    <w:rsid w:val="00D21433"/>
    <w:rsid w:val="00D34D81"/>
    <w:rsid w:val="00D37A85"/>
    <w:rsid w:val="00D4093D"/>
    <w:rsid w:val="00D43294"/>
    <w:rsid w:val="00D50AC9"/>
    <w:rsid w:val="00D546FF"/>
    <w:rsid w:val="00D5533D"/>
    <w:rsid w:val="00D61173"/>
    <w:rsid w:val="00D61595"/>
    <w:rsid w:val="00D71C04"/>
    <w:rsid w:val="00D7298E"/>
    <w:rsid w:val="00D73572"/>
    <w:rsid w:val="00D75931"/>
    <w:rsid w:val="00D77B39"/>
    <w:rsid w:val="00D80012"/>
    <w:rsid w:val="00D83C74"/>
    <w:rsid w:val="00D87706"/>
    <w:rsid w:val="00D87D14"/>
    <w:rsid w:val="00D87F8F"/>
    <w:rsid w:val="00D91FF2"/>
    <w:rsid w:val="00D92D1A"/>
    <w:rsid w:val="00D94855"/>
    <w:rsid w:val="00DB5A42"/>
    <w:rsid w:val="00DB64C5"/>
    <w:rsid w:val="00DB653A"/>
    <w:rsid w:val="00DC2F2D"/>
    <w:rsid w:val="00DD3000"/>
    <w:rsid w:val="00DD615C"/>
    <w:rsid w:val="00DE06A3"/>
    <w:rsid w:val="00DE4E9A"/>
    <w:rsid w:val="00DE5C79"/>
    <w:rsid w:val="00DF0B40"/>
    <w:rsid w:val="00E01203"/>
    <w:rsid w:val="00E1347C"/>
    <w:rsid w:val="00E2139A"/>
    <w:rsid w:val="00E22100"/>
    <w:rsid w:val="00E23E67"/>
    <w:rsid w:val="00E27FFA"/>
    <w:rsid w:val="00E30630"/>
    <w:rsid w:val="00E317B5"/>
    <w:rsid w:val="00E341B0"/>
    <w:rsid w:val="00E40BB2"/>
    <w:rsid w:val="00E42385"/>
    <w:rsid w:val="00E43CEB"/>
    <w:rsid w:val="00E4662F"/>
    <w:rsid w:val="00E46E8C"/>
    <w:rsid w:val="00E50D6E"/>
    <w:rsid w:val="00E52265"/>
    <w:rsid w:val="00E54780"/>
    <w:rsid w:val="00E62C12"/>
    <w:rsid w:val="00E63059"/>
    <w:rsid w:val="00E63977"/>
    <w:rsid w:val="00E6595F"/>
    <w:rsid w:val="00E66F92"/>
    <w:rsid w:val="00E70C5A"/>
    <w:rsid w:val="00E739E1"/>
    <w:rsid w:val="00E73BC5"/>
    <w:rsid w:val="00E73E91"/>
    <w:rsid w:val="00E74494"/>
    <w:rsid w:val="00E77973"/>
    <w:rsid w:val="00E8272D"/>
    <w:rsid w:val="00E84273"/>
    <w:rsid w:val="00E84EA4"/>
    <w:rsid w:val="00E87200"/>
    <w:rsid w:val="00E95656"/>
    <w:rsid w:val="00EA025C"/>
    <w:rsid w:val="00EA4252"/>
    <w:rsid w:val="00EB1879"/>
    <w:rsid w:val="00EB2054"/>
    <w:rsid w:val="00EB5398"/>
    <w:rsid w:val="00EC3CED"/>
    <w:rsid w:val="00ED0B7A"/>
    <w:rsid w:val="00ED2916"/>
    <w:rsid w:val="00ED550D"/>
    <w:rsid w:val="00EF2402"/>
    <w:rsid w:val="00EF5F2E"/>
    <w:rsid w:val="00F013E5"/>
    <w:rsid w:val="00F057D0"/>
    <w:rsid w:val="00F0623B"/>
    <w:rsid w:val="00F119B7"/>
    <w:rsid w:val="00F1334B"/>
    <w:rsid w:val="00F146CE"/>
    <w:rsid w:val="00F14D28"/>
    <w:rsid w:val="00F1625D"/>
    <w:rsid w:val="00F17C21"/>
    <w:rsid w:val="00F23307"/>
    <w:rsid w:val="00F26071"/>
    <w:rsid w:val="00F309A3"/>
    <w:rsid w:val="00F316FF"/>
    <w:rsid w:val="00F3700A"/>
    <w:rsid w:val="00F42443"/>
    <w:rsid w:val="00F45156"/>
    <w:rsid w:val="00F55C2F"/>
    <w:rsid w:val="00F61E64"/>
    <w:rsid w:val="00F64AB4"/>
    <w:rsid w:val="00F66539"/>
    <w:rsid w:val="00F72916"/>
    <w:rsid w:val="00F8045A"/>
    <w:rsid w:val="00F81A95"/>
    <w:rsid w:val="00F82A19"/>
    <w:rsid w:val="00F87F07"/>
    <w:rsid w:val="00F90AD7"/>
    <w:rsid w:val="00F96D2B"/>
    <w:rsid w:val="00F9722C"/>
    <w:rsid w:val="00FA11C2"/>
    <w:rsid w:val="00FA551B"/>
    <w:rsid w:val="00FB1DDF"/>
    <w:rsid w:val="00FB4E5A"/>
    <w:rsid w:val="00FC029C"/>
    <w:rsid w:val="00FC31D4"/>
    <w:rsid w:val="00FC48AC"/>
    <w:rsid w:val="00FC6FF0"/>
    <w:rsid w:val="00FD4808"/>
    <w:rsid w:val="00FE0889"/>
    <w:rsid w:val="00FE3023"/>
    <w:rsid w:val="00FE35FC"/>
    <w:rsid w:val="00FF13D2"/>
    <w:rsid w:val="00FF3A4A"/>
    <w:rsid w:val="00FF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E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B55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B5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B55E7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rsid w:val="000B55E7"/>
    <w:pPr>
      <w:spacing w:line="300" w:lineRule="auto"/>
      <w:ind w:firstLineChars="200" w:firstLine="640"/>
    </w:pPr>
    <w:rPr>
      <w:rFonts w:ascii="仿宋_GB2312" w:hAnsi="Times New Roman"/>
      <w:szCs w:val="20"/>
    </w:rPr>
  </w:style>
  <w:style w:type="character" w:customStyle="1" w:styleId="Char0">
    <w:name w:val="正文文本缩进 Char"/>
    <w:basedOn w:val="a0"/>
    <w:link w:val="a4"/>
    <w:rsid w:val="000B55E7"/>
    <w:rPr>
      <w:rFonts w:ascii="仿宋_GB2312" w:eastAsia="宋体" w:hAnsi="Times New Roman" w:cs="Times New Roman"/>
      <w:szCs w:val="20"/>
    </w:rPr>
  </w:style>
  <w:style w:type="paragraph" w:customStyle="1" w:styleId="a5">
    <w:name w:val="目录一级标题"/>
    <w:basedOn w:val="1"/>
    <w:link w:val="Char1"/>
    <w:qFormat/>
    <w:rsid w:val="000B55E7"/>
    <w:pPr>
      <w:spacing w:line="240" w:lineRule="exact"/>
    </w:pPr>
    <w:rPr>
      <w:rFonts w:ascii="方正小标宋简体" w:eastAsia="方正小标宋简体"/>
      <w:sz w:val="36"/>
      <w:szCs w:val="36"/>
    </w:rPr>
  </w:style>
  <w:style w:type="character" w:customStyle="1" w:styleId="Char1">
    <w:name w:val="目录一级标题 Char"/>
    <w:basedOn w:val="1Char"/>
    <w:link w:val="a5"/>
    <w:rsid w:val="000B55E7"/>
    <w:rPr>
      <w:rFonts w:ascii="方正小标宋简体" w:eastAsia="方正小标宋简体"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0B55E7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0B55E7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0B55E7"/>
    <w:pPr>
      <w:tabs>
        <w:tab w:val="right" w:leader="dot" w:pos="9060"/>
      </w:tabs>
      <w:jc w:val="center"/>
    </w:pPr>
    <w:rPr>
      <w:rFonts w:ascii="Times New Roman" w:eastAsia="仿宋_GB2312" w:hAnsi="Times New Roman"/>
      <w:noProof/>
      <w:sz w:val="32"/>
      <w:szCs w:val="32"/>
    </w:rPr>
  </w:style>
  <w:style w:type="character" w:styleId="a6">
    <w:name w:val="Hyperlink"/>
    <w:basedOn w:val="a0"/>
    <w:uiPriority w:val="99"/>
    <w:unhideWhenUsed/>
    <w:rsid w:val="000B55E7"/>
    <w:rPr>
      <w:color w:val="0000FF"/>
      <w:u w:val="single"/>
    </w:rPr>
  </w:style>
  <w:style w:type="paragraph" w:styleId="a7">
    <w:name w:val="Plain Text"/>
    <w:basedOn w:val="a"/>
    <w:link w:val="Char2"/>
    <w:uiPriority w:val="99"/>
    <w:rsid w:val="000B55E7"/>
    <w:pPr>
      <w:spacing w:line="520" w:lineRule="exact"/>
    </w:pPr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0B55E7"/>
    <w:rPr>
      <w:rFonts w:ascii="宋体" w:eastAsia="宋体" w:hAnsi="Courier New" w:cs="Courier New"/>
      <w:szCs w:val="21"/>
    </w:rPr>
  </w:style>
  <w:style w:type="paragraph" w:styleId="a8">
    <w:name w:val="header"/>
    <w:basedOn w:val="a"/>
    <w:link w:val="Char3"/>
    <w:uiPriority w:val="99"/>
    <w:semiHidden/>
    <w:unhideWhenUsed/>
    <w:rsid w:val="000E3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rsid w:val="000E3626"/>
    <w:rPr>
      <w:kern w:val="2"/>
      <w:sz w:val="18"/>
      <w:szCs w:val="18"/>
    </w:rPr>
  </w:style>
  <w:style w:type="paragraph" w:styleId="a9">
    <w:name w:val="Balloon Text"/>
    <w:basedOn w:val="a"/>
    <w:link w:val="Char4"/>
    <w:uiPriority w:val="99"/>
    <w:semiHidden/>
    <w:unhideWhenUsed/>
    <w:rsid w:val="000E3626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0E36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F9A2-C9D5-40E2-A2F3-38F642B5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935</Words>
  <Characters>5330</Characters>
  <Application>Microsoft Office Word</Application>
  <DocSecurity>0</DocSecurity>
  <Lines>44</Lines>
  <Paragraphs>12</Paragraphs>
  <ScaleCrop>false</ScaleCrop>
  <Company>Lenovo</Company>
  <LinksUpToDate>false</LinksUpToDate>
  <CharactersWithSpaces>6253</CharactersWithSpaces>
  <SharedDoc>false</SharedDoc>
  <HLinks>
    <vt:vector size="90" baseType="variant"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_Toc52202597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_Toc52202596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_Toc52202595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_Toc52202594</vt:lpwstr>
      </vt:variant>
      <vt:variant>
        <vt:i4>1245244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_Toc52202593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_Toc52202592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_Toc52202591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_Toc52202590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_Toc52202589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_Toc52202588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_Toc52202587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_Toc52202586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_Toc52202585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_Toc52202584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_Toc52202583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办公室-邵英琪</dc:creator>
  <cp:lastModifiedBy>逄旭辉</cp:lastModifiedBy>
  <cp:revision>3</cp:revision>
  <cp:lastPrinted>2020-10-16T06:14:00Z</cp:lastPrinted>
  <dcterms:created xsi:type="dcterms:W3CDTF">2020-12-29T19:04:00Z</dcterms:created>
  <dcterms:modified xsi:type="dcterms:W3CDTF">2020-12-29T19:05:00Z</dcterms:modified>
</cp:coreProperties>
</file>