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667A" w:rsidRDefault="00F92C7B" w:rsidP="00F9667A">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p>
    <w:p w:rsidR="00F9667A" w:rsidRDefault="00F9667A" w:rsidP="00F9667A">
      <w:pPr>
        <w:pStyle w:val="a3"/>
        <w:spacing w:line="520" w:lineRule="exact"/>
        <w:rPr>
          <w:rFonts w:ascii="仿宋_GB2312" w:eastAsia="仿宋_GB2312" w:hAnsi="宋体" w:cs="宋体"/>
          <w:sz w:val="30"/>
          <w:szCs w:val="30"/>
        </w:rPr>
      </w:pPr>
    </w:p>
    <w:p w:rsidR="00F9667A" w:rsidRDefault="00F9667A" w:rsidP="00F9667A">
      <w:pPr>
        <w:pStyle w:val="a3"/>
        <w:spacing w:line="520" w:lineRule="exact"/>
        <w:rPr>
          <w:rFonts w:ascii="仿宋_GB2312" w:eastAsia="仿宋_GB2312" w:hAnsi="宋体" w:cs="宋体"/>
          <w:sz w:val="30"/>
          <w:szCs w:val="30"/>
        </w:rPr>
      </w:pPr>
    </w:p>
    <w:p w:rsidR="00F9667A" w:rsidRDefault="00F9667A" w:rsidP="00F9667A">
      <w:pPr>
        <w:pStyle w:val="a3"/>
        <w:spacing w:line="520" w:lineRule="exact"/>
        <w:rPr>
          <w:rFonts w:ascii="仿宋_GB2312" w:eastAsia="仿宋_GB2312" w:hAnsi="宋体" w:cs="宋体"/>
          <w:sz w:val="30"/>
          <w:szCs w:val="30"/>
        </w:rPr>
      </w:pPr>
    </w:p>
    <w:p w:rsidR="003E5237" w:rsidRPr="003E5237" w:rsidRDefault="00F9667A" w:rsidP="003E5237">
      <w:pPr>
        <w:pStyle w:val="a3"/>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003E5237" w:rsidRPr="003E5237">
        <w:rPr>
          <w:rFonts w:ascii="仿宋_GB2312" w:eastAsia="仿宋_GB2312" w:hAnsi="宋体" w:cs="宋体" w:hint="eastAsia"/>
          <w:sz w:val="30"/>
          <w:szCs w:val="30"/>
        </w:rPr>
        <w:t>《最高人民法院关于适用〈中华人民共和国民法典〉物权编的解释（一）》已于2020年12月25日由最高人民法院审判委员会第1825次会议通过，现予公布，自2021年1月1日起施行。</w:t>
      </w:r>
    </w:p>
    <w:p w:rsidR="00723C50" w:rsidRPr="003E5237"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r w:rsidRPr="00723C50">
        <w:rPr>
          <w:rFonts w:ascii="仿宋_GB2312" w:eastAsia="仿宋_GB2312" w:hAnsi="宋体" w:cs="宋体" w:hint="eastAsia"/>
          <w:sz w:val="30"/>
          <w:szCs w:val="30"/>
        </w:rPr>
        <w:t>最高人民法院</w:t>
      </w:r>
    </w:p>
    <w:p w:rsidR="00723C50" w:rsidRPr="00723C50" w:rsidRDefault="00723C50" w:rsidP="00723C50">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r w:rsidRPr="00723C50">
        <w:rPr>
          <w:rFonts w:ascii="仿宋_GB2312" w:eastAsia="仿宋_GB2312" w:hAnsi="宋体" w:cs="宋体" w:hint="eastAsia"/>
          <w:sz w:val="30"/>
          <w:szCs w:val="30"/>
        </w:rPr>
        <w:t>2020年12月29日</w:t>
      </w:r>
    </w:p>
    <w:p w:rsidR="00D81223" w:rsidRPr="00D81223" w:rsidRDefault="00D81223" w:rsidP="00723C50">
      <w:pPr>
        <w:pStyle w:val="a3"/>
        <w:spacing w:line="520" w:lineRule="exact"/>
        <w:rPr>
          <w:rFonts w:ascii="仿宋_GB2312" w:eastAsia="仿宋_GB2312" w:hAnsi="宋体" w:cs="宋体"/>
          <w:sz w:val="30"/>
          <w:szCs w:val="30"/>
        </w:rPr>
      </w:pPr>
    </w:p>
    <w:p w:rsidR="007B2410" w:rsidRPr="007B2410" w:rsidRDefault="007B2410" w:rsidP="00D81223">
      <w:pPr>
        <w:pStyle w:val="a3"/>
        <w:spacing w:line="520" w:lineRule="exact"/>
        <w:rPr>
          <w:rFonts w:ascii="仿宋_GB2312" w:eastAsia="仿宋_GB2312" w:hAnsi="宋体" w:cs="宋体"/>
          <w:sz w:val="30"/>
          <w:szCs w:val="30"/>
        </w:rPr>
      </w:pPr>
    </w:p>
    <w:p w:rsidR="007B2410" w:rsidRPr="007B2410" w:rsidRDefault="007B2410" w:rsidP="007B2410">
      <w:pPr>
        <w:pStyle w:val="a3"/>
        <w:spacing w:line="520" w:lineRule="exact"/>
        <w:rPr>
          <w:rFonts w:ascii="仿宋_GB2312" w:eastAsia="仿宋_GB2312" w:hAnsi="宋体" w:cs="宋体"/>
          <w:sz w:val="30"/>
          <w:szCs w:val="30"/>
        </w:rPr>
      </w:pPr>
    </w:p>
    <w:p w:rsidR="007B2410" w:rsidRPr="007B2410" w:rsidRDefault="007B2410" w:rsidP="007B2410">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D91F48" w:rsidRPr="00BF4E21" w:rsidRDefault="00E56A87" w:rsidP="00BF4E21">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p>
    <w:p w:rsidR="00D91F48" w:rsidRPr="007A7FD3" w:rsidRDefault="00D91F48" w:rsidP="00D91F48">
      <w:pPr>
        <w:pStyle w:val="a3"/>
        <w:spacing w:line="520" w:lineRule="exact"/>
        <w:jc w:val="center"/>
        <w:rPr>
          <w:rFonts w:hAnsi="宋体" w:cs="宋体"/>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F92C7B" w:rsidRDefault="00F92C7B" w:rsidP="000C4793">
      <w:pPr>
        <w:pStyle w:val="a3"/>
        <w:spacing w:line="520" w:lineRule="exact"/>
        <w:jc w:val="center"/>
        <w:rPr>
          <w:rFonts w:ascii="仿宋_GB2312" w:eastAsia="仿宋_GB2312" w:hAnsi="宋体" w:cs="宋体"/>
          <w:sz w:val="30"/>
          <w:szCs w:val="30"/>
        </w:rPr>
      </w:pPr>
    </w:p>
    <w:p w:rsidR="00345685" w:rsidRDefault="00345685" w:rsidP="000C4793">
      <w:pPr>
        <w:pStyle w:val="a3"/>
        <w:spacing w:line="520" w:lineRule="exact"/>
        <w:jc w:val="center"/>
        <w:rPr>
          <w:rFonts w:ascii="仿宋_GB2312" w:eastAsia="仿宋_GB2312" w:hAnsi="宋体" w:cs="宋体"/>
          <w:sz w:val="30"/>
          <w:szCs w:val="30"/>
        </w:rPr>
      </w:pPr>
    </w:p>
    <w:p w:rsidR="00345685" w:rsidRDefault="00345685" w:rsidP="000C4793">
      <w:pPr>
        <w:pStyle w:val="a3"/>
        <w:spacing w:line="520" w:lineRule="exact"/>
        <w:jc w:val="center"/>
        <w:rPr>
          <w:rFonts w:ascii="仿宋_GB2312" w:eastAsia="仿宋_GB2312" w:hAnsi="宋体" w:cs="宋体"/>
          <w:sz w:val="30"/>
          <w:szCs w:val="30"/>
        </w:rPr>
      </w:pPr>
    </w:p>
    <w:p w:rsidR="000C4793" w:rsidRDefault="00D91F48" w:rsidP="000C4793">
      <w:pPr>
        <w:pStyle w:val="a3"/>
        <w:spacing w:line="520" w:lineRule="exact"/>
        <w:jc w:val="center"/>
        <w:rPr>
          <w:rFonts w:ascii="仿宋_GB2312" w:eastAsia="仿宋_GB2312" w:hAnsi="宋体" w:cs="宋体"/>
          <w:sz w:val="30"/>
          <w:szCs w:val="30"/>
        </w:rPr>
      </w:pPr>
      <w:r w:rsidRPr="00604ACB">
        <w:rPr>
          <w:rFonts w:ascii="仿宋_GB2312" w:eastAsia="仿宋_GB2312" w:hAnsi="宋体" w:cs="宋体" w:hint="eastAsia"/>
          <w:sz w:val="30"/>
          <w:szCs w:val="30"/>
        </w:rPr>
        <w:t>法释〔</w:t>
      </w:r>
      <w:r w:rsidR="00C85BE4">
        <w:rPr>
          <w:rFonts w:ascii="仿宋_GB2312" w:eastAsia="仿宋_GB2312" w:hAnsi="宋体" w:cs="宋体" w:hint="eastAsia"/>
          <w:sz w:val="30"/>
          <w:szCs w:val="30"/>
        </w:rPr>
        <w:t>20</w:t>
      </w:r>
      <w:r w:rsidR="00493ABE">
        <w:rPr>
          <w:rFonts w:ascii="仿宋_GB2312" w:eastAsia="仿宋_GB2312" w:hAnsi="宋体" w:cs="宋体" w:hint="eastAsia"/>
          <w:sz w:val="30"/>
          <w:szCs w:val="30"/>
        </w:rPr>
        <w:t>20</w:t>
      </w:r>
      <w:r w:rsidRPr="00604ACB">
        <w:rPr>
          <w:rFonts w:ascii="仿宋_GB2312" w:eastAsia="仿宋_GB2312" w:hAnsi="宋体" w:cs="宋体" w:hint="eastAsia"/>
          <w:sz w:val="30"/>
          <w:szCs w:val="30"/>
        </w:rPr>
        <w:t>〕</w:t>
      </w:r>
      <w:r w:rsidR="003E5237">
        <w:rPr>
          <w:rFonts w:ascii="仿宋_GB2312" w:eastAsia="仿宋_GB2312" w:hAnsi="宋体" w:cs="宋体" w:hint="eastAsia"/>
          <w:sz w:val="30"/>
          <w:szCs w:val="30"/>
        </w:rPr>
        <w:t>24</w:t>
      </w:r>
      <w:r w:rsidRPr="00604ACB">
        <w:rPr>
          <w:rFonts w:ascii="仿宋_GB2312" w:eastAsia="仿宋_GB2312" w:hAnsi="宋体" w:cs="宋体" w:hint="eastAsia"/>
          <w:sz w:val="30"/>
          <w:szCs w:val="30"/>
        </w:rPr>
        <w:t>号</w:t>
      </w:r>
    </w:p>
    <w:p w:rsidR="007B2410" w:rsidRPr="003E5237" w:rsidRDefault="007B2410" w:rsidP="00542147">
      <w:pPr>
        <w:pStyle w:val="a3"/>
        <w:rPr>
          <w:rFonts w:ascii="楷体_GB2312" w:eastAsia="楷体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3E5237" w:rsidRPr="003E5237" w:rsidRDefault="003E5237" w:rsidP="003E5237">
      <w:pPr>
        <w:pStyle w:val="a3"/>
        <w:jc w:val="center"/>
        <w:rPr>
          <w:rFonts w:ascii="华文中宋" w:eastAsia="华文中宋" w:hAnsi="华文中宋" w:cs="宋体" w:hint="eastAsia"/>
          <w:sz w:val="36"/>
          <w:szCs w:val="36"/>
        </w:rPr>
      </w:pPr>
      <w:r w:rsidRPr="003E5237">
        <w:rPr>
          <w:rFonts w:ascii="华文中宋" w:eastAsia="华文中宋" w:hAnsi="华文中宋" w:cs="宋体" w:hint="eastAsia"/>
          <w:sz w:val="36"/>
          <w:szCs w:val="36"/>
        </w:rPr>
        <w:t>最高人民法院关于适用《中华人民共和国民法典》</w:t>
      </w:r>
    </w:p>
    <w:p w:rsidR="003E5237" w:rsidRPr="003E5237" w:rsidRDefault="003E5237" w:rsidP="003E5237">
      <w:pPr>
        <w:pStyle w:val="a3"/>
        <w:jc w:val="center"/>
        <w:rPr>
          <w:rFonts w:ascii="华文中宋" w:eastAsia="华文中宋" w:hAnsi="华文中宋" w:cs="宋体" w:hint="eastAsia"/>
          <w:sz w:val="36"/>
          <w:szCs w:val="36"/>
        </w:rPr>
      </w:pPr>
      <w:r w:rsidRPr="003E5237">
        <w:rPr>
          <w:rFonts w:ascii="华文中宋" w:eastAsia="华文中宋" w:hAnsi="华文中宋" w:cs="宋体" w:hint="eastAsia"/>
          <w:sz w:val="36"/>
          <w:szCs w:val="36"/>
        </w:rPr>
        <w:t>物权编的解释（一）</w:t>
      </w:r>
    </w:p>
    <w:p w:rsidR="003E5237" w:rsidRPr="003E5237" w:rsidRDefault="003E5237" w:rsidP="003E5237">
      <w:pPr>
        <w:pStyle w:val="a3"/>
        <w:jc w:val="center"/>
        <w:rPr>
          <w:rFonts w:ascii="仿宋_GB2312" w:eastAsia="仿宋_GB2312" w:hAnsi="宋体" w:cs="宋体" w:hint="eastAsia"/>
          <w:sz w:val="30"/>
          <w:szCs w:val="30"/>
        </w:rPr>
      </w:pPr>
      <w:r w:rsidRPr="003E5237">
        <w:rPr>
          <w:rFonts w:ascii="仿宋_GB2312" w:eastAsia="仿宋_GB2312" w:hAnsi="宋体" w:cs="宋体" w:hint="eastAsia"/>
          <w:sz w:val="30"/>
          <w:szCs w:val="30"/>
        </w:rPr>
        <w:t>（2020年12月25日最高人民法院审判委员会</w:t>
      </w:r>
    </w:p>
    <w:p w:rsidR="003E5237" w:rsidRPr="003E5237" w:rsidRDefault="003E5237" w:rsidP="003E5237">
      <w:pPr>
        <w:pStyle w:val="a3"/>
        <w:jc w:val="center"/>
        <w:rPr>
          <w:rFonts w:ascii="仿宋_GB2312" w:eastAsia="仿宋_GB2312" w:hAnsi="宋体" w:cs="宋体" w:hint="eastAsia"/>
          <w:sz w:val="30"/>
          <w:szCs w:val="30"/>
        </w:rPr>
      </w:pPr>
      <w:r w:rsidRPr="003E5237">
        <w:rPr>
          <w:rFonts w:ascii="仿宋_GB2312" w:eastAsia="仿宋_GB2312" w:hAnsi="宋体" w:cs="宋体" w:hint="eastAsia"/>
          <w:sz w:val="30"/>
          <w:szCs w:val="30"/>
        </w:rPr>
        <w:t>第1825次会议通过，自2021年1月1日起施行）</w:t>
      </w:r>
    </w:p>
    <w:p w:rsidR="003E5237" w:rsidRPr="003E5237" w:rsidRDefault="003E5237" w:rsidP="002D7030">
      <w:pPr>
        <w:pStyle w:val="a3"/>
        <w:rPr>
          <w:rFonts w:hAnsi="宋体" w:cs="宋体" w:hint="eastAsia"/>
        </w:rPr>
      </w:pPr>
    </w:p>
    <w:p w:rsidR="003E5237" w:rsidRPr="00FB3D02" w:rsidRDefault="003E5237" w:rsidP="002D7030">
      <w:pPr>
        <w:pStyle w:val="a3"/>
        <w:rPr>
          <w:rFonts w:hAnsi="宋体" w:cs="宋体" w:hint="eastAsia"/>
        </w:rPr>
      </w:pPr>
    </w:p>
    <w:p w:rsidR="003E5237" w:rsidRPr="003E5237" w:rsidRDefault="003E5237" w:rsidP="002D7030">
      <w:pPr>
        <w:pStyle w:val="a3"/>
        <w:rPr>
          <w:rFonts w:ascii="仿宋_GB2312" w:eastAsia="仿宋_GB2312" w:hAnsi="宋体" w:cs="宋体" w:hint="eastAsia"/>
          <w:sz w:val="30"/>
          <w:szCs w:val="30"/>
        </w:rPr>
      </w:pPr>
      <w:r>
        <w:rPr>
          <w:rFonts w:hAnsi="宋体" w:cs="宋体" w:hint="eastAsia"/>
        </w:rPr>
        <w:t xml:space="preserve">      </w:t>
      </w:r>
      <w:r w:rsidRPr="003E5237">
        <w:rPr>
          <w:rFonts w:ascii="仿宋_GB2312" w:eastAsia="仿宋_GB2312" w:hAnsi="宋体" w:cs="宋体" w:hint="eastAsia"/>
          <w:sz w:val="30"/>
          <w:szCs w:val="30"/>
        </w:rPr>
        <w:t>为正确审理物权纠纷案件，根据《中华人民共和国民法典》等相关法律规定，结合审判实践，制定本解释。</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第一条因不动产物权的归属，以及作为不动产物权登记基础的买卖、赠与、抵押等产生争议，当事人提起民事诉讼的，应当依法受理。当事人已经在行政诉讼中申请一并解决上述民事争议，且</w:t>
      </w:r>
      <w:r w:rsidRPr="003E5237">
        <w:rPr>
          <w:rFonts w:ascii="仿宋_GB2312" w:eastAsia="仿宋_GB2312" w:hAnsi="宋体" w:cs="宋体" w:hint="eastAsia"/>
          <w:sz w:val="30"/>
          <w:szCs w:val="30"/>
        </w:rPr>
        <w:lastRenderedPageBreak/>
        <w:t>人民法院一并审理的除外。</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第二条当事人有证据证明不动产登记簿的记载与真实权利状态不符、其为该不动产物权的真实权利人，请求确认其享有物权的，应予支持。</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第三条异议登记因民法典第二百二十条第二款规定的事由失效后，当事人提起民事诉讼，请求确认物权归属的，应当依法受理。异议登记失效不影响人民法院对案件的实体审理。</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第四条未经预告登记的权利人同意，转让不动产所有权等物权，或者设立建设用地使用权、居住权、地役权、抵押权等其他物权的，应当依照民法典第二百二十一条第一款的规定，认定其不发生物权效力。</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第五条预告登记的买卖不动产物权的协议被认定无效、被撤销，或者预告登记的权利人放弃债权的，应当认定为民法典第二百二十一条第二款所称的“债权消灭”。</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六条转让人转让船舶、航空器和机动车等所有权，受让人已经支付合理价款并取得占有，虽未经登记，但转让人的债权人主张其为民法典第二百二十五条所称的“善意第三人”的，不予支持，法律另有规定的除外。</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七条人民法院、仲裁机构在分割共有不动产或者动产等案件中作出并依法生效的改变原有物权关系的判决书、裁决书、调解书，以及人民法院在执行程序中作出的拍卖成交裁定书、变卖成交裁定书、以物抵债裁定书，应当认定为民法典第二百二十九条所称</w:t>
      </w:r>
      <w:r w:rsidRPr="003E5237">
        <w:rPr>
          <w:rFonts w:ascii="仿宋_GB2312" w:eastAsia="仿宋_GB2312" w:hAnsi="宋体" w:cs="宋体" w:hint="eastAsia"/>
          <w:sz w:val="30"/>
          <w:szCs w:val="30"/>
        </w:rPr>
        <w:lastRenderedPageBreak/>
        <w:t>导致物权设立、变更、转让或者消灭的人民法院、仲裁机构的法律文书。</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第八条依据民法典第二百二十九条至第二百三十一条规定享有物权，但尚未完成动产交付或者不动产登记的权利人，依据民法典第二百三十五条至第二百三十八条的规定，请求保护其物权的，应予支持。</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第九条共有份额的权利主体因继承、遗赠等原因发生变化时，其他按份共有人主张优先购买的，不予支持，但按份共有人之间另有约定的除外。</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 xml:space="preserve">     第十条民法典第三百零五条所称的“同等条件”，应当综合共有份额的转让价格、价款履行方式及期限等因素确定。</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第十一条优先购买权的行使期间，按份共有人之间有约定的，按照约定处理；没有约定或者约定不明的，按照下列情形确定：</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（一）转让人向其他按份共有人发出的包含同等条件内容的通知中载明行使期间的，以该期间为准；</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（二）通知中未载明行使期间，或者载明的期间短于通知送达之日起十五日的，为十五日；</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（三）转让人未通知的，为其他按份共有人知道或者应当知道最终确定的同等条件之日起十五日；</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（四）转让人未通知，且无法确定其他按份共有人知道或者应当知道最终确定的同等条件的，为共有份额权属转移之日起六个月。</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第十二条按份共有人向共有人之外的人转让其份额，其他按份共</w:t>
      </w:r>
      <w:r w:rsidRPr="003E5237">
        <w:rPr>
          <w:rFonts w:ascii="仿宋_GB2312" w:eastAsia="仿宋_GB2312" w:hAnsi="宋体" w:cs="宋体" w:hint="eastAsia"/>
          <w:sz w:val="30"/>
          <w:szCs w:val="30"/>
        </w:rPr>
        <w:lastRenderedPageBreak/>
        <w:t>有人根据法律、司法解释规定，请求按照同等条件优先购买该共有份额的，应予支持。其他按份共有人的请求具有下列情形之一的，不予支持：</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（一）未在本解释第十一条规定的期间内主张优先购买，或者虽主张优先购买，但提出减少转让价款、增加转让人负担等实质性变更要求；</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（二）以其优先购买权受到侵害为由，仅请求撤销共有份额转让合同或者认定该合同无效。</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第十三条按份共有人之间转让共有份额，其他按份共有人主张依据民法典第三百零五条规定优先购买的，不予支持，但按份共有人之间另有约定的除外。</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第十四条受让人受让不动产或者动产时，不知道转让人无处分权，且无重大过失的，应当认定受让人为善意。</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真实权利人主张受让人不构成善意的，应当承担举证证明责任。</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第十五条具有下列情形之一的，应当认定不动产受让人知道转让人无处分权：</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（一）登记簿上存在有效的异议登记；</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（二）预告登记有效期内，未经预告登记的权利人同意；</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（三）登记簿上已经记载司法机关或者行政机关依法裁定、决定查封或者以其他形式限制不动产权利的有关事项；</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（四）受让人知道登记簿上记载的权利主体错误；</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（五）受让人知道他人已经依法享有不动产物权。</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lastRenderedPageBreak/>
        <w:t>真实权利人有证据证明不动产受让人应当知道转让人无处分权的，应当认定受让人具有重大过失。</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第十六条受让人受让动产时，交易的对象、场所或者时机等不符合交易习惯的，应当认定受让人具有重大过失。</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第十七条民法典第三百一十一条第一款第一项所称的“受让人受让该不动产或者动产时”，是指依法完成不动产物权转移登记或者动产交付之时。</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当事人以民法典第二百二十六条规定的方式交付动产的，转让动产民事法律行为生效时为动产交付之时；当事人以民法典第二百二十七条规定的方式交付动产的，转让人与受让人之间有关转让返还原物请求权的协议生效时为动产交付之时。</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法律对不动产、动产物权的设立另有规定的，应当按照法律规定的时间认定权利人是否为善意。</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第十八条民法典第三百一十一条第一款第二项所称“合理的价格”，应当根据转让标的物的性质、数量以及付款方式等具体情况，参考转让时交易地市场价格以及交易习惯等因素综合认定。</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第十九条转让人将民法典第二百二十五条规定的船舶、航空器和机动车等交付给受让人的，应当认定符合民法典第三百一十一条第一款第三项规定的善意取得的条件。</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第二十条具有下列情形之一，受让人主张依据民法典第三百一十一条规定取得所有权的，不予支持：</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（一）转让合同被认定无效；</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lastRenderedPageBreak/>
        <w:t>（二）转让合同被撤销。</w:t>
      </w:r>
    </w:p>
    <w:p w:rsidR="003E5237" w:rsidRPr="003E5237" w:rsidRDefault="003E5237" w:rsidP="002D7030">
      <w:pPr>
        <w:pStyle w:val="a3"/>
        <w:rPr>
          <w:rFonts w:ascii="仿宋_GB2312" w:eastAsia="仿宋_GB2312" w:hAnsi="宋体" w:cs="宋体" w:hint="eastAsia"/>
          <w:sz w:val="30"/>
          <w:szCs w:val="30"/>
        </w:rPr>
      </w:pPr>
      <w:r w:rsidRPr="003E5237">
        <w:rPr>
          <w:rFonts w:ascii="仿宋_GB2312" w:eastAsia="仿宋_GB2312" w:hAnsi="宋体" w:cs="宋体" w:hint="eastAsia"/>
          <w:sz w:val="30"/>
          <w:szCs w:val="30"/>
        </w:rPr>
        <w:t>第二十一条本解释自2021年1月1日起施行。</w:t>
      </w:r>
    </w:p>
    <w:p w:rsidR="00723C50" w:rsidRPr="003E5237"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3E5237" w:rsidRDefault="003E5237" w:rsidP="00723C50">
      <w:pPr>
        <w:pStyle w:val="a3"/>
        <w:spacing w:line="520" w:lineRule="exact"/>
        <w:rPr>
          <w:rFonts w:ascii="仿宋_GB2312" w:eastAsia="仿宋_GB2312" w:hAnsi="宋体" w:cs="宋体" w:hint="eastAsia"/>
          <w:sz w:val="30"/>
          <w:szCs w:val="30"/>
        </w:rPr>
      </w:pPr>
    </w:p>
    <w:p w:rsidR="003E5237" w:rsidRDefault="003E5237" w:rsidP="00723C50">
      <w:pPr>
        <w:pStyle w:val="a3"/>
        <w:spacing w:line="520" w:lineRule="exact"/>
        <w:rPr>
          <w:rFonts w:ascii="仿宋_GB2312" w:eastAsia="仿宋_GB2312" w:hAnsi="宋体" w:cs="宋体" w:hint="eastAsia"/>
          <w:sz w:val="30"/>
          <w:szCs w:val="30"/>
        </w:rPr>
      </w:pPr>
    </w:p>
    <w:p w:rsidR="003E5237" w:rsidRDefault="003E5237" w:rsidP="00723C50">
      <w:pPr>
        <w:pStyle w:val="a3"/>
        <w:spacing w:line="520" w:lineRule="exact"/>
        <w:rPr>
          <w:rFonts w:ascii="仿宋_GB2312" w:eastAsia="仿宋_GB2312" w:hAnsi="宋体" w:cs="宋体" w:hint="eastAsia"/>
          <w:sz w:val="30"/>
          <w:szCs w:val="30"/>
        </w:rPr>
      </w:pPr>
    </w:p>
    <w:p w:rsidR="003E5237" w:rsidRDefault="003E5237" w:rsidP="00723C50">
      <w:pPr>
        <w:pStyle w:val="a3"/>
        <w:spacing w:line="520" w:lineRule="exact"/>
        <w:rPr>
          <w:rFonts w:ascii="仿宋_GB2312" w:eastAsia="仿宋_GB2312" w:hAnsi="宋体" w:cs="宋体" w:hint="eastAsia"/>
          <w:sz w:val="30"/>
          <w:szCs w:val="30"/>
        </w:rPr>
      </w:pPr>
    </w:p>
    <w:p w:rsidR="003E5237" w:rsidRDefault="003E5237" w:rsidP="00723C50">
      <w:pPr>
        <w:pStyle w:val="a3"/>
        <w:spacing w:line="520" w:lineRule="exact"/>
        <w:rPr>
          <w:rFonts w:ascii="仿宋_GB2312" w:eastAsia="仿宋_GB2312" w:hAnsi="宋体" w:cs="宋体" w:hint="eastAsia"/>
          <w:sz w:val="30"/>
          <w:szCs w:val="30"/>
        </w:rPr>
      </w:pPr>
    </w:p>
    <w:p w:rsidR="003E5237" w:rsidRDefault="003E5237" w:rsidP="00723C50">
      <w:pPr>
        <w:pStyle w:val="a3"/>
        <w:spacing w:line="520" w:lineRule="exact"/>
        <w:rPr>
          <w:rFonts w:ascii="仿宋_GB2312" w:eastAsia="仿宋_GB2312" w:hAnsi="宋体" w:cs="宋体" w:hint="eastAsia"/>
          <w:sz w:val="30"/>
          <w:szCs w:val="30"/>
        </w:rPr>
      </w:pPr>
    </w:p>
    <w:p w:rsidR="003E5237" w:rsidRDefault="003E5237"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327CCE">
      <w:pPr>
        <w:pStyle w:val="a3"/>
        <w:rPr>
          <w:rFonts w:hAnsi="宋体" w:cs="宋体"/>
          <w:u w:val="single"/>
        </w:rPr>
      </w:pPr>
      <w:r>
        <w:rPr>
          <w:rFonts w:hAnsi="宋体" w:cs="宋体" w:hint="eastAsia"/>
          <w:u w:val="single"/>
        </w:rPr>
        <w:t xml:space="preserve">                                                                            </w:t>
      </w:r>
    </w:p>
    <w:p w:rsidR="00723C50" w:rsidRPr="004F2D12" w:rsidRDefault="00723C50" w:rsidP="00327CCE">
      <w:pPr>
        <w:pStyle w:val="a3"/>
        <w:rPr>
          <w:rFonts w:hAnsi="宋体" w:cs="宋体"/>
        </w:rPr>
      </w:pPr>
      <w:r w:rsidRPr="004F2D12">
        <w:rPr>
          <w:rFonts w:hAnsi="宋体" w:cs="宋体" w:hint="eastAsia"/>
        </w:rPr>
        <w:t>最高人民法院办公厅秘书一处</w:t>
      </w:r>
      <w:r>
        <w:rPr>
          <w:rFonts w:hAnsi="宋体" w:cs="宋体" w:hint="eastAsia"/>
        </w:rPr>
        <w:t xml:space="preserve">                           </w:t>
      </w:r>
      <w:r w:rsidRPr="004F2D12">
        <w:rPr>
          <w:rFonts w:hAnsi="宋体" w:cs="宋体" w:hint="eastAsia"/>
        </w:rPr>
        <w:t>2020年12月29日印发</w:t>
      </w:r>
    </w:p>
    <w:p w:rsidR="00723C50" w:rsidRPr="00723C50" w:rsidRDefault="00723C50" w:rsidP="00327CCE">
      <w:pPr>
        <w:pStyle w:val="a3"/>
        <w:rPr>
          <w:rFonts w:hAnsi="宋体" w:cs="宋体"/>
          <w:u w:val="single"/>
        </w:rPr>
      </w:pPr>
      <w:r>
        <w:rPr>
          <w:rFonts w:hAnsi="宋体" w:cs="宋体" w:hint="eastAsia"/>
          <w:u w:val="single"/>
        </w:rPr>
        <w:t xml:space="preserve">                                                                             </w:t>
      </w:r>
    </w:p>
    <w:p w:rsidR="00D81223" w:rsidRPr="00D81223" w:rsidRDefault="00D81223" w:rsidP="00B67790">
      <w:pPr>
        <w:pStyle w:val="a3"/>
        <w:rPr>
          <w:rFonts w:hAnsi="宋体" w:cs="宋体"/>
          <w:u w:val="single"/>
        </w:rPr>
      </w:pPr>
    </w:p>
    <w:sectPr w:rsidR="00D81223" w:rsidRPr="00D81223"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FA2" w:rsidRDefault="00496FA2">
      <w:r>
        <w:separator/>
      </w:r>
    </w:p>
  </w:endnote>
  <w:endnote w:type="continuationSeparator" w:id="1">
    <w:p w:rsidR="00496FA2" w:rsidRDefault="00496FA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7" w:rsidRDefault="00B15FB1" w:rsidP="000A67EC">
    <w:pPr>
      <w:pStyle w:val="a4"/>
      <w:framePr w:wrap="around" w:vAnchor="text" w:hAnchor="margin" w:xAlign="outside" w:y="1"/>
      <w:rPr>
        <w:rStyle w:val="a5"/>
      </w:rPr>
    </w:pPr>
    <w:r>
      <w:rPr>
        <w:rStyle w:val="a5"/>
      </w:rPr>
      <w:fldChar w:fldCharType="begin"/>
    </w:r>
    <w:r w:rsidR="00542147">
      <w:rPr>
        <w:rStyle w:val="a5"/>
      </w:rPr>
      <w:instrText xml:space="preserve">PAGE  </w:instrText>
    </w:r>
    <w:r>
      <w:rPr>
        <w:rStyle w:val="a5"/>
      </w:rPr>
      <w:fldChar w:fldCharType="end"/>
    </w:r>
  </w:p>
  <w:p w:rsidR="00542147" w:rsidRDefault="00542147"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7" w:rsidRDefault="00B15FB1" w:rsidP="000A67EC">
    <w:pPr>
      <w:pStyle w:val="a4"/>
      <w:framePr w:wrap="around" w:vAnchor="text" w:hAnchor="margin" w:xAlign="outside" w:y="1"/>
      <w:rPr>
        <w:rStyle w:val="a5"/>
      </w:rPr>
    </w:pPr>
    <w:r>
      <w:rPr>
        <w:rStyle w:val="a5"/>
      </w:rPr>
      <w:fldChar w:fldCharType="begin"/>
    </w:r>
    <w:r w:rsidR="00542147">
      <w:rPr>
        <w:rStyle w:val="a5"/>
      </w:rPr>
      <w:instrText xml:space="preserve">PAGE  </w:instrText>
    </w:r>
    <w:r>
      <w:rPr>
        <w:rStyle w:val="a5"/>
      </w:rPr>
      <w:fldChar w:fldCharType="separate"/>
    </w:r>
    <w:r w:rsidR="003E5237">
      <w:rPr>
        <w:rStyle w:val="a5"/>
        <w:noProof/>
      </w:rPr>
      <w:t>6</w:t>
    </w:r>
    <w:r>
      <w:rPr>
        <w:rStyle w:val="a5"/>
      </w:rPr>
      <w:fldChar w:fldCharType="end"/>
    </w:r>
  </w:p>
  <w:p w:rsidR="00542147" w:rsidRDefault="00542147"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FA2" w:rsidRDefault="00496FA2">
      <w:r>
        <w:separator/>
      </w:r>
    </w:p>
  </w:footnote>
  <w:footnote w:type="continuationSeparator" w:id="1">
    <w:p w:rsidR="00496FA2" w:rsidRDefault="00496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35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360E"/>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5237"/>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96FA2"/>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5FB1"/>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FC39-9778-4A21-BE06-87F6FA0D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426</Words>
  <Characters>2433</Characters>
  <Application>Microsoft Office Word</Application>
  <DocSecurity>0</DocSecurity>
  <Lines>20</Lines>
  <Paragraphs>5</Paragraphs>
  <ScaleCrop>false</ScaleCrop>
  <Company>Lenovo (Beijing) Limited</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逄旭辉</cp:lastModifiedBy>
  <cp:revision>3</cp:revision>
  <cp:lastPrinted>2014-04-03T09:04:00Z</cp:lastPrinted>
  <dcterms:created xsi:type="dcterms:W3CDTF">2020-12-29T19:07:00Z</dcterms:created>
  <dcterms:modified xsi:type="dcterms:W3CDTF">2020-12-29T19:09:00Z</dcterms:modified>
</cp:coreProperties>
</file>