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667A" w:rsidRDefault="00F92C7B" w:rsidP="00F9667A">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0A07D0" w:rsidRPr="000A07D0" w:rsidRDefault="00F9667A" w:rsidP="000A07D0">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000A07D0">
        <w:rPr>
          <w:rFonts w:ascii="仿宋_GB2312" w:eastAsia="仿宋_GB2312" w:hAnsi="宋体" w:cs="宋体" w:hint="eastAsia"/>
          <w:sz w:val="30"/>
          <w:szCs w:val="30"/>
        </w:rPr>
        <w:t xml:space="preserve"> </w:t>
      </w:r>
      <w:r w:rsidR="000A07D0" w:rsidRPr="000A07D0">
        <w:rPr>
          <w:rFonts w:ascii="仿宋_GB2312" w:eastAsia="仿宋_GB2312" w:hAnsi="宋体" w:cs="宋体" w:hint="eastAsia"/>
          <w:sz w:val="30"/>
          <w:szCs w:val="30"/>
        </w:rPr>
        <w:t>《最高人民法院关于审理建设工程施工合同纠纷案件适用法律问题的解释（一）》已于2020年12月25日由最高人民法院审判委员会第1825次会议通过，现予公布，自2021年1月1日起施行。</w:t>
      </w:r>
    </w:p>
    <w:p w:rsidR="000A07D0" w:rsidRPr="000A07D0" w:rsidRDefault="000A07D0" w:rsidP="000A07D0">
      <w:pPr>
        <w:pStyle w:val="a3"/>
        <w:spacing w:line="520" w:lineRule="exact"/>
        <w:rPr>
          <w:rFonts w:ascii="仿宋_GB2312" w:eastAsia="仿宋_GB2312" w:hAnsi="宋体" w:cs="宋体" w:hint="eastAsia"/>
          <w:sz w:val="30"/>
          <w:szCs w:val="30"/>
        </w:rPr>
      </w:pPr>
    </w:p>
    <w:p w:rsidR="000A07D0" w:rsidRPr="000A07D0" w:rsidRDefault="000A07D0" w:rsidP="000A07D0">
      <w:pPr>
        <w:pStyle w:val="a3"/>
        <w:spacing w:line="520" w:lineRule="exact"/>
        <w:rPr>
          <w:rFonts w:ascii="仿宋_GB2312" w:eastAsia="仿宋_GB2312" w:hAnsi="宋体" w:cs="宋体" w:hint="eastAsia"/>
          <w:sz w:val="30"/>
          <w:szCs w:val="30"/>
        </w:rPr>
      </w:pPr>
    </w:p>
    <w:p w:rsidR="000A07D0" w:rsidRPr="000A07D0" w:rsidRDefault="000A07D0" w:rsidP="000A07D0">
      <w:pPr>
        <w:pStyle w:val="a3"/>
        <w:spacing w:line="520" w:lineRule="exact"/>
        <w:rPr>
          <w:rFonts w:ascii="仿宋_GB2312" w:eastAsia="仿宋_GB2312" w:hAnsi="宋体" w:cs="宋体" w:hint="eastAsia"/>
          <w:sz w:val="30"/>
          <w:szCs w:val="30"/>
        </w:rPr>
      </w:pPr>
    </w:p>
    <w:p w:rsidR="000A07D0" w:rsidRPr="000A07D0" w:rsidRDefault="000A07D0" w:rsidP="000A07D0">
      <w:pPr>
        <w:pStyle w:val="a3"/>
        <w:spacing w:line="520" w:lineRule="exact"/>
        <w:rPr>
          <w:rFonts w:ascii="仿宋_GB2312" w:eastAsia="仿宋_GB2312" w:hAnsi="宋体" w:cs="宋体" w:hint="eastAsia"/>
          <w:sz w:val="30"/>
          <w:szCs w:val="30"/>
        </w:rPr>
      </w:pPr>
    </w:p>
    <w:p w:rsidR="000A07D0" w:rsidRPr="000A07D0" w:rsidRDefault="000A07D0" w:rsidP="000A07D0">
      <w:pPr>
        <w:pStyle w:val="a3"/>
        <w:spacing w:line="520" w:lineRule="exact"/>
        <w:rPr>
          <w:rFonts w:ascii="仿宋_GB2312" w:eastAsia="仿宋_GB2312" w:hAnsi="宋体" w:cs="宋体" w:hint="eastAsia"/>
          <w:sz w:val="30"/>
          <w:szCs w:val="30"/>
        </w:rPr>
      </w:pPr>
    </w:p>
    <w:p w:rsidR="000A07D0" w:rsidRPr="000A07D0" w:rsidRDefault="000A07D0" w:rsidP="000A07D0">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0A07D0">
        <w:rPr>
          <w:rFonts w:ascii="仿宋_GB2312" w:eastAsia="仿宋_GB2312" w:hAnsi="宋体" w:cs="宋体" w:hint="eastAsia"/>
          <w:sz w:val="30"/>
          <w:szCs w:val="30"/>
        </w:rPr>
        <w:t>最高人民法院</w:t>
      </w:r>
    </w:p>
    <w:p w:rsidR="000A07D0" w:rsidRPr="000A07D0" w:rsidRDefault="000A07D0" w:rsidP="000A07D0">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0A07D0">
        <w:rPr>
          <w:rFonts w:ascii="仿宋_GB2312" w:eastAsia="仿宋_GB2312" w:hAnsi="宋体" w:cs="宋体" w:hint="eastAsia"/>
          <w:sz w:val="30"/>
          <w:szCs w:val="30"/>
        </w:rPr>
        <w:t>2020年12月29日</w:t>
      </w:r>
    </w:p>
    <w:p w:rsidR="000A07D0" w:rsidRPr="000A07D0" w:rsidRDefault="000A07D0" w:rsidP="000A07D0">
      <w:pPr>
        <w:pStyle w:val="a3"/>
        <w:spacing w:line="520" w:lineRule="exact"/>
        <w:rPr>
          <w:rFonts w:ascii="仿宋_GB2312" w:eastAsia="仿宋_GB2312" w:hAnsi="宋体" w:cs="宋体" w:hint="eastAsia"/>
          <w:sz w:val="30"/>
          <w:szCs w:val="30"/>
        </w:rPr>
      </w:pPr>
    </w:p>
    <w:p w:rsidR="00723C50" w:rsidRPr="00723C50" w:rsidRDefault="00723C50" w:rsidP="000A07D0">
      <w:pPr>
        <w:pStyle w:val="a3"/>
        <w:spacing w:line="520" w:lineRule="exact"/>
        <w:rPr>
          <w:rFonts w:ascii="仿宋_GB2312" w:eastAsia="仿宋_GB2312" w:hAnsi="宋体" w:cs="宋体"/>
          <w:sz w:val="30"/>
          <w:szCs w:val="30"/>
        </w:rPr>
      </w:pPr>
    </w:p>
    <w:p w:rsidR="00D81223" w:rsidRPr="00D81223" w:rsidRDefault="00D81223" w:rsidP="00723C50">
      <w:pPr>
        <w:pStyle w:val="a3"/>
        <w:spacing w:line="520" w:lineRule="exact"/>
        <w:rPr>
          <w:rFonts w:ascii="仿宋_GB2312" w:eastAsia="仿宋_GB2312" w:hAnsi="宋体" w:cs="宋体"/>
          <w:sz w:val="30"/>
          <w:szCs w:val="30"/>
        </w:rPr>
      </w:pPr>
    </w:p>
    <w:p w:rsidR="007B2410" w:rsidRPr="007B2410" w:rsidRDefault="007B2410" w:rsidP="00D81223">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D91F48" w:rsidRPr="00BF4E21" w:rsidRDefault="00E56A87" w:rsidP="00BF4E21">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p>
    <w:p w:rsidR="00D91F48" w:rsidRPr="007A7FD3" w:rsidRDefault="00D91F48" w:rsidP="00D91F48">
      <w:pPr>
        <w:pStyle w:val="a3"/>
        <w:spacing w:line="520" w:lineRule="exact"/>
        <w:jc w:val="center"/>
        <w:rPr>
          <w:rFonts w:hAnsi="宋体" w:cs="宋体"/>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F92C7B" w:rsidRDefault="00F92C7B"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0C4793" w:rsidRDefault="00D91F48" w:rsidP="000C4793">
      <w:pPr>
        <w:pStyle w:val="a3"/>
        <w:spacing w:line="520" w:lineRule="exact"/>
        <w:jc w:val="center"/>
        <w:rPr>
          <w:rFonts w:ascii="仿宋_GB2312" w:eastAsia="仿宋_GB2312" w:hAnsi="宋体" w:cs="宋体"/>
          <w:sz w:val="30"/>
          <w:szCs w:val="30"/>
        </w:rPr>
      </w:pPr>
      <w:r w:rsidRPr="00604ACB">
        <w:rPr>
          <w:rFonts w:ascii="仿宋_GB2312" w:eastAsia="仿宋_GB2312" w:hAnsi="宋体" w:cs="宋体" w:hint="eastAsia"/>
          <w:sz w:val="30"/>
          <w:szCs w:val="30"/>
        </w:rPr>
        <w:t>法释〔</w:t>
      </w:r>
      <w:r w:rsidR="00C85BE4">
        <w:rPr>
          <w:rFonts w:ascii="仿宋_GB2312" w:eastAsia="仿宋_GB2312" w:hAnsi="宋体" w:cs="宋体" w:hint="eastAsia"/>
          <w:sz w:val="30"/>
          <w:szCs w:val="30"/>
        </w:rPr>
        <w:t>20</w:t>
      </w:r>
      <w:r w:rsidR="00493ABE">
        <w:rPr>
          <w:rFonts w:ascii="仿宋_GB2312" w:eastAsia="仿宋_GB2312" w:hAnsi="宋体" w:cs="宋体" w:hint="eastAsia"/>
          <w:sz w:val="30"/>
          <w:szCs w:val="30"/>
        </w:rPr>
        <w:t>20</w:t>
      </w:r>
      <w:r w:rsidRPr="00604ACB">
        <w:rPr>
          <w:rFonts w:ascii="仿宋_GB2312" w:eastAsia="仿宋_GB2312" w:hAnsi="宋体" w:cs="宋体" w:hint="eastAsia"/>
          <w:sz w:val="30"/>
          <w:szCs w:val="30"/>
        </w:rPr>
        <w:t>〕</w:t>
      </w:r>
      <w:r w:rsidR="000A07D0">
        <w:rPr>
          <w:rFonts w:ascii="仿宋_GB2312" w:eastAsia="仿宋_GB2312" w:hAnsi="宋体" w:cs="宋体" w:hint="eastAsia"/>
          <w:sz w:val="30"/>
          <w:szCs w:val="30"/>
        </w:rPr>
        <w:t>2</w:t>
      </w:r>
      <w:r w:rsidR="00723C50">
        <w:rPr>
          <w:rFonts w:ascii="仿宋_GB2312" w:eastAsia="仿宋_GB2312" w:hAnsi="宋体" w:cs="宋体" w:hint="eastAsia"/>
          <w:sz w:val="30"/>
          <w:szCs w:val="30"/>
        </w:rPr>
        <w:t>5</w:t>
      </w:r>
      <w:r w:rsidRPr="00604ACB">
        <w:rPr>
          <w:rFonts w:ascii="仿宋_GB2312" w:eastAsia="仿宋_GB2312" w:hAnsi="宋体" w:cs="宋体" w:hint="eastAsia"/>
          <w:sz w:val="30"/>
          <w:szCs w:val="30"/>
        </w:rPr>
        <w:t>号</w:t>
      </w:r>
    </w:p>
    <w:p w:rsidR="007B2410" w:rsidRPr="00C672E3" w:rsidRDefault="007B2410" w:rsidP="00542147">
      <w:pPr>
        <w:pStyle w:val="a3"/>
        <w:rPr>
          <w:rFonts w:ascii="楷体_GB2312" w:eastAsia="楷体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0A07D0" w:rsidRPr="000A07D0" w:rsidRDefault="000A07D0" w:rsidP="000A07D0">
      <w:pPr>
        <w:pStyle w:val="a3"/>
        <w:spacing w:line="520" w:lineRule="exact"/>
        <w:rPr>
          <w:rFonts w:ascii="仿宋_GB2312" w:eastAsia="仿宋_GB2312" w:hAnsi="宋体" w:cs="宋体" w:hint="eastAsia"/>
          <w:sz w:val="30"/>
          <w:szCs w:val="30"/>
        </w:rPr>
      </w:pPr>
    </w:p>
    <w:p w:rsidR="000A07D0" w:rsidRPr="000A07D0" w:rsidRDefault="000A07D0" w:rsidP="000A07D0">
      <w:pPr>
        <w:pStyle w:val="a3"/>
        <w:spacing w:line="520" w:lineRule="exact"/>
        <w:jc w:val="center"/>
        <w:rPr>
          <w:rFonts w:ascii="华文中宋" w:eastAsia="华文中宋" w:hAnsi="华文中宋" w:cs="宋体" w:hint="eastAsia"/>
          <w:sz w:val="36"/>
          <w:szCs w:val="36"/>
        </w:rPr>
      </w:pPr>
      <w:r w:rsidRPr="000A07D0">
        <w:rPr>
          <w:rFonts w:ascii="华文中宋" w:eastAsia="华文中宋" w:hAnsi="华文中宋" w:cs="宋体" w:hint="eastAsia"/>
          <w:sz w:val="36"/>
          <w:szCs w:val="36"/>
        </w:rPr>
        <w:t>最高人民法院关于审理建设工程施工合同纠纷案件</w:t>
      </w:r>
    </w:p>
    <w:p w:rsidR="000A07D0" w:rsidRPr="000A07D0" w:rsidRDefault="000A07D0" w:rsidP="000A07D0">
      <w:pPr>
        <w:pStyle w:val="a3"/>
        <w:spacing w:line="520" w:lineRule="exact"/>
        <w:jc w:val="center"/>
        <w:rPr>
          <w:rFonts w:ascii="华文中宋" w:eastAsia="华文中宋" w:hAnsi="华文中宋" w:cs="宋体" w:hint="eastAsia"/>
          <w:sz w:val="36"/>
          <w:szCs w:val="36"/>
        </w:rPr>
      </w:pPr>
      <w:r w:rsidRPr="000A07D0">
        <w:rPr>
          <w:rFonts w:ascii="华文中宋" w:eastAsia="华文中宋" w:hAnsi="华文中宋" w:cs="宋体" w:hint="eastAsia"/>
          <w:sz w:val="36"/>
          <w:szCs w:val="36"/>
        </w:rPr>
        <w:t>适用法律问题的解释（一）</w:t>
      </w:r>
    </w:p>
    <w:p w:rsidR="000A07D0" w:rsidRPr="000A07D0" w:rsidRDefault="000A07D0" w:rsidP="000A07D0">
      <w:pPr>
        <w:pStyle w:val="a3"/>
        <w:jc w:val="center"/>
        <w:rPr>
          <w:rFonts w:ascii="仿宋_GB2312" w:eastAsia="仿宋_GB2312" w:hAnsi="宋体" w:cs="宋体" w:hint="eastAsia"/>
          <w:sz w:val="30"/>
          <w:szCs w:val="30"/>
        </w:rPr>
      </w:pPr>
      <w:r w:rsidRPr="000A07D0">
        <w:rPr>
          <w:rFonts w:ascii="仿宋_GB2312" w:eastAsia="仿宋_GB2312" w:hAnsi="宋体" w:cs="宋体" w:hint="eastAsia"/>
          <w:sz w:val="30"/>
          <w:szCs w:val="30"/>
        </w:rPr>
        <w:t>（2020年12月25日最高人民法院审判委员会</w:t>
      </w:r>
    </w:p>
    <w:p w:rsidR="000A07D0" w:rsidRPr="000A07D0" w:rsidRDefault="000A07D0" w:rsidP="000A07D0">
      <w:pPr>
        <w:pStyle w:val="a3"/>
        <w:jc w:val="center"/>
        <w:rPr>
          <w:rFonts w:ascii="仿宋_GB2312" w:eastAsia="仿宋_GB2312" w:hAnsi="宋体" w:cs="宋体" w:hint="eastAsia"/>
          <w:sz w:val="30"/>
          <w:szCs w:val="30"/>
        </w:rPr>
      </w:pPr>
      <w:r w:rsidRPr="000A07D0">
        <w:rPr>
          <w:rFonts w:ascii="仿宋_GB2312" w:eastAsia="仿宋_GB2312" w:hAnsi="宋体" w:cs="宋体" w:hint="eastAsia"/>
          <w:sz w:val="30"/>
          <w:szCs w:val="30"/>
        </w:rPr>
        <w:t>第1825次会议通过，自2021年1月1日起施行）</w:t>
      </w:r>
    </w:p>
    <w:p w:rsidR="000A07D0" w:rsidRPr="000A07D0" w:rsidRDefault="000A07D0" w:rsidP="000A07D0">
      <w:pPr>
        <w:pStyle w:val="a3"/>
        <w:spacing w:line="520" w:lineRule="exact"/>
        <w:rPr>
          <w:rFonts w:ascii="仿宋_GB2312" w:eastAsia="仿宋_GB2312" w:hAnsi="宋体" w:cs="宋体" w:hint="eastAsia"/>
          <w:sz w:val="30"/>
          <w:szCs w:val="30"/>
        </w:rPr>
      </w:pPr>
    </w:p>
    <w:p w:rsidR="000A07D0" w:rsidRPr="000A07D0" w:rsidRDefault="000A07D0" w:rsidP="000A07D0">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0A07D0">
        <w:rPr>
          <w:rFonts w:ascii="仿宋_GB2312" w:eastAsia="仿宋_GB2312" w:hAnsi="宋体" w:cs="宋体" w:hint="eastAsia"/>
          <w:sz w:val="30"/>
          <w:szCs w:val="30"/>
        </w:rPr>
        <w:t>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lastRenderedPageBreak/>
        <w:t>第一条建设工程施工合同具有下列情形之一的，应当依据民法典第一百五十三条第一款的规定，认定无效：</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（一）承包人未取得建筑业企业资质或者超越资质等级的；</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（二）没有资质的实际施工人借用有资质的建筑施工企业名义的；</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（三）建设工程必须进行招标而未招标或者中标无效的。</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承包人因转包、违法分包建设工程与他人签订的建设工程施工合同，应当依据民法典第一百五十三条第一款及第七百九十一条第二款、第三款的规定，认定无效。</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第二条招标人和中标人另行签订的建设工程施工合同约定的工程范围、建设工期、工程质量、工程价款等实质性内容，与中标合同不一致，一方当事人请求按照中标合同确定权利义务的，人民法院应予支持。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第三条当事人以发包人未取得建设工程规划许可证等规划审批手续为由，请求确认建设工程施工合同无效的，人民法院应予支持，但发包人在起诉前取得建设工程规划许可证等规划审批手续的除外。</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发包人能够办理审批手续而未办理，并以未办理审批手续为由请求确认建设工程施工合同无效的，人民法院不予支持。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第四条承包人超越资质等级许可的业务范围签订建设工程施工合同，在建设工程竣工前取得相应资质等级，当事人请求按照无效合同处理的，人民法院不予支持。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第五条具有劳务作业法定资质的承包人与总承包人、分包人签订</w:t>
      </w:r>
      <w:r w:rsidRPr="000A07D0">
        <w:rPr>
          <w:rFonts w:ascii="仿宋_GB2312" w:eastAsia="仿宋_GB2312" w:hAnsi="宋体" w:cs="宋体" w:hint="eastAsia"/>
          <w:sz w:val="30"/>
          <w:szCs w:val="30"/>
        </w:rPr>
        <w:lastRenderedPageBreak/>
        <w:t>的劳务分包合同，当事人请求确认无效的，人民法院依法不予支持。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第六条建设工程施工合同无效，一方当事人请求对方赔偿损失的，应当就对方过错、损失大小、过错与损失之间的因果关系承担举证责任。</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损失大小无法确定，一方当事人请求参照合同约定的质量标准、建设工期、工程价款支付时间等内容确定损失大小的，人民法院可以结合双方过错程度、过错与损失之间的因果关系等因素作出裁判。</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第七条缺乏资质的单位或者个人借用有资质的建筑施工企业名义签订建设工程施工合同，发包人请求出借方与借用方对建设工程质量不合格等因出借资质造成的损失承担连带赔偿责任的，人民法院应予支持。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第八条当事人对建设工程开工日期有争议的，人民法院应当分别按照以下情形予以认定：</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（二）承包人经发包人同意已经实际进场施工的，以实际进场施工时间为开工日期。</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第九条当事人对建设工程实际竣工日期有争议的，人民法院应当</w:t>
      </w:r>
      <w:r w:rsidRPr="000A07D0">
        <w:rPr>
          <w:rFonts w:ascii="仿宋_GB2312" w:eastAsia="仿宋_GB2312" w:hAnsi="宋体" w:cs="宋体" w:hint="eastAsia"/>
          <w:sz w:val="30"/>
          <w:szCs w:val="30"/>
        </w:rPr>
        <w:lastRenderedPageBreak/>
        <w:t>分别按照以下情形予以认定：</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（一）建设工程经竣工验收合格的，以竣工验收合格之日为竣工日期；</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（二）承包人已经提交竣工验收报告，发包人拖延验收的，以承包人提交验收报告之日为竣工日期；</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（三）建设工程未经竣工验收，发包人擅自使用的，以转移占有建设工程之日为竣工日期。</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十条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当事人约定承包人未在约定期限内提出工期顺延申请视为工期不顺延的，按照约定处理，但发包人在约定期限后同意工期顺延或者承包人提出合理抗辩的除外。</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第十一条建设工程竣工前，当事人对工程质量发生争议，工程质量经鉴定合格的，鉴定期间为顺延工期期间。</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第十二条因承包人的原因造成建设工程质量不符合约定，承包人拒绝修理、返工或者改建，发包人请求减少支付工程价款的，人民法院应予支持。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第十三条发包人具有下列情形之一，造成建设工程质量缺陷，应当承担过错责任：</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（一）提供的设计有缺陷；</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（二）提供或者指定购买的建筑材料、建筑构配件、设备不符合强制性标准；</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（三）直接指定分包人分包专业工程。</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lastRenderedPageBreak/>
        <w:t>承包人有过错的，也应当承担相应的过错责任。</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十四条建设工程未经竣工验收，发包人擅自使用后，又以使用部分质量不符合约定为由主张权利的，人民法院不予支持；但是承包人应当在建设工程的合理使用寿命内对地基基础工程和主体结构质量承担民事责任。</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第十五条因建设工程质量发生争议的，发包人可以以总承包人、分包人和实际施工人为共同被告提起诉讼。</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十六条发包人在承包人提起的建设工程施工合同纠纷案件中，以建设工程质量不符合合同约定或者法律规定为由，就承包人支付违约金或者赔偿修理、返工、改建的合理费用等损失提出反诉的，人民法院可以合并审理。</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第十七条有下列情形之一，承包人请求发包人返还工程质量保证金的，人民法院应予支持：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（一）当事人约定的工程质量保证金返还期限届满；</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（二）当事人未约定工程质量保证金返还期限的，自建设工程通过竣工验收之日起满二年；</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发包人返还工程质量保证金后，不影响承包人根据合同约定或者法律规定履行工程保修义务。</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第十八条因保修人未及时履行保修义务，导致建筑物毁损或者造成人身损害、财产损失的，保修人应当承担赔偿责任。</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保修人与建筑物所有人或者发包人对建筑物毁损均有过错的，各自承担相应的责任。</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lastRenderedPageBreak/>
        <w:t>第十九条当事人对建设工程的计价标准或者计价方法有约定的，按照约定结算工程价款。</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因设计变更导致建设工程的工程量或者质量标准发生变化，当事人对该部分工程价款不能协商一致的，可以参照签订建设工程施工合同时当地建设行政主管部门发布的计价方法或者计价标准结算工程价款。</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建设工程施工合同有效，但建设工程经竣工验收不合格的，依照民法典第五百七十七条规定处理。</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条当事人对工程量有争议的，按照施工过程中形成的签证等书面文件确认。承包人能够证明发包人同意其施工，但未能提供签证文件证明工程量发生的，可以按照当事人提供的其他证据确认实际发生的工程量。</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第二十一条当事人约定，发包人收到竣工结算文件后，在约定期限内不予答复，视为认可竣工结算文件的，按照约定处理。承包人请求按照竣工结算文件结算工程价款的，人民法院应予支持。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二条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三条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第二十四条当事人就同一建设工程订立的数份建设工程施工合同均无效，但建设工程质量合格，一方当事人请求参照实际履行</w:t>
      </w:r>
      <w:r w:rsidRPr="000A07D0">
        <w:rPr>
          <w:rFonts w:ascii="仿宋_GB2312" w:eastAsia="仿宋_GB2312" w:hAnsi="宋体" w:cs="宋体" w:hint="eastAsia"/>
          <w:sz w:val="30"/>
          <w:szCs w:val="30"/>
        </w:rPr>
        <w:lastRenderedPageBreak/>
        <w:t>的合同关于工程价款的约定折价补偿承包人的，人民法院应予支持。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实际履行的合同难以确定，当事人请求参照最后签订的合同关于工程价款的约定折价补偿承包人的，人民法院应予支持。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第二十五条当事人对垫资和垫资利息有约定，承包人请求按照约定返还垫资及其利息的，人民法院应予支持，但是约定的利息计算标准高于垫资时的同类贷款利率或者同期贷款市场报价利率的部分除外。</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当事人对垫资没有约定的，按照工程欠款处理。</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当事人对垫资利息没有约定，承包人请求支付利息的，人民法院不予支持。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第二十六条当事人对欠付工程价款利息计付标准有约定的，按照约定处理。没有约定的，按照同期同类贷款利率或者同期贷款市场报价利率计息。</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第二十七条利息从应付工程价款之日开始计付。当事人对付款时间没有约定或者约定不明的，下列时间视为应付款时间：</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（一）建设工程已实际交付的，为交付之日；</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（二）建设工程没有交付的，为提交竣工结算文件之日；</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（三）建设工程未交付，工程价款也未结算的，为当事人起诉之日。</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第二十八条当事人约定按照固定价结算工程价款，一方当事人请求对建设工程造价进行鉴定的，人民法院不予支持。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第二十九条当事人在诉讼前已经对建设工程价款结算达成协议，诉讼中一方当事人申请对工程造价进行鉴定的，人民法院不予准许。</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第三十条当事人在诉讼前共同委托有关机构、人员对建设工程造</w:t>
      </w:r>
      <w:r w:rsidRPr="000A07D0">
        <w:rPr>
          <w:rFonts w:ascii="仿宋_GB2312" w:eastAsia="仿宋_GB2312" w:hAnsi="宋体" w:cs="宋体" w:hint="eastAsia"/>
          <w:sz w:val="30"/>
          <w:szCs w:val="30"/>
        </w:rPr>
        <w:lastRenderedPageBreak/>
        <w:t>价出具咨询意见，诉讼中一方当事人不认可该咨询意见申请鉴定的，人民法院应予准许，但双方当事人明确表示受该咨询意见约束的除外。</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第三十一条当事人对部分案件事实有争议的，仅对有争议的事实进行鉴定，但争议事实范围不能确定，或者双方当事人请求对全部事实鉴定的除外。</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二条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第三十三条人民法院准许当事人的鉴定申请后，应当根据当事人申请及查明案件事实的需要，确定委托鉴定的事项、范围、鉴定期限等，并组织当事人对争议的鉴定材料进行质证。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四条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第三十五条与发包人订立建设工程施工合同的承包人，依据民法典第八百零七条的规定请求其承建工程的价款就工程折价或者拍卖的价款优先受偿的，人民法院应予支持。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第三十六条承包人根据民法典第八百零七条规定享有的建设工</w:t>
      </w:r>
      <w:r w:rsidRPr="000A07D0">
        <w:rPr>
          <w:rFonts w:ascii="仿宋_GB2312" w:eastAsia="仿宋_GB2312" w:hAnsi="宋体" w:cs="宋体" w:hint="eastAsia"/>
          <w:sz w:val="30"/>
          <w:szCs w:val="30"/>
        </w:rPr>
        <w:lastRenderedPageBreak/>
        <w:t>程价款优先受偿权优于抵押权和其他债权。</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第三十七条装饰装修工程具备折价或者拍卖条件，装饰装修工程的承包人请求工程价款就该装饰装修工程折价或者拍卖的价款优先受偿的，人民法院应予支持。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第三十八条建设工程质量合格，承包人请求其承建工程的价款就工程折价或者拍卖的价款优先受偿的，人民法院应予支持。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第三十九条未竣工的建设工程质量合格，承包人请求其承建工程的价款就其承建工程部分折价或者拍卖的价款优先受偿的，人民法院应予支持。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第四十条承包人建设工程价款优先受偿的范围依照国务院有关行政主管部门关于建设工程价款范围的规定确定。</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承包人就逾期支付建设工程价款的利息、违约金、损害赔偿金等主张优先受偿的，人民法院不予支持。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第四十一条承包人应当在合理期限内行使建设工程价款优先受偿权，但最长不得超过十八个月，自发包人应当给付建设工程价款之日起算。</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第四十二条发包人与承包人约定放弃或者限制建设工程价款优先受偿权，损害建筑工人利益，发包人根据该约定主张承包人不享有建设工程价款优先受偿权的，人民法院不予支持。</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第四十三条实际施工人以转包人、违法分包人为被告起诉的，人民法院应当依法受理。</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rsidR="000A07D0" w:rsidRP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第四十四条实际施工人依据民法典第五百三十五条规定，以转包</w:t>
      </w:r>
      <w:r w:rsidRPr="000A07D0">
        <w:rPr>
          <w:rFonts w:ascii="仿宋_GB2312" w:eastAsia="仿宋_GB2312" w:hAnsi="宋体" w:cs="宋体" w:hint="eastAsia"/>
          <w:sz w:val="30"/>
          <w:szCs w:val="30"/>
        </w:rPr>
        <w:lastRenderedPageBreak/>
        <w:t>人或者违法分包人怠于向发包人行使到期债权或者与该债权有关的从权利，影响其到期债权实现，提起代位权诉讼的，人民法院应予支持。</w:t>
      </w:r>
    </w:p>
    <w:p w:rsidR="000A07D0" w:rsidRDefault="000A07D0" w:rsidP="000A07D0">
      <w:pPr>
        <w:pStyle w:val="a3"/>
        <w:spacing w:line="520" w:lineRule="exact"/>
        <w:rPr>
          <w:rFonts w:ascii="仿宋_GB2312" w:eastAsia="仿宋_GB2312" w:hAnsi="宋体" w:cs="宋体" w:hint="eastAsia"/>
          <w:sz w:val="30"/>
          <w:szCs w:val="30"/>
        </w:rPr>
      </w:pPr>
      <w:r w:rsidRPr="000A07D0">
        <w:rPr>
          <w:rFonts w:ascii="仿宋_GB2312" w:eastAsia="仿宋_GB2312" w:hAnsi="宋体" w:cs="宋体" w:hint="eastAsia"/>
          <w:sz w:val="30"/>
          <w:szCs w:val="30"/>
        </w:rPr>
        <w:t>第四十五条本解释自2021年1月1日起施行。</w:t>
      </w: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Default="000A07D0" w:rsidP="000A07D0">
      <w:pPr>
        <w:pStyle w:val="a3"/>
        <w:spacing w:line="520" w:lineRule="exact"/>
        <w:rPr>
          <w:rFonts w:ascii="仿宋_GB2312" w:eastAsia="仿宋_GB2312" w:hAnsi="宋体" w:cs="宋体" w:hint="eastAsia"/>
          <w:sz w:val="30"/>
          <w:szCs w:val="30"/>
        </w:rPr>
      </w:pPr>
    </w:p>
    <w:p w:rsidR="000A07D0" w:rsidRPr="000A07D0" w:rsidRDefault="000A07D0" w:rsidP="000A07D0">
      <w:pPr>
        <w:pStyle w:val="a3"/>
        <w:spacing w:line="520" w:lineRule="exact"/>
        <w:rPr>
          <w:rFonts w:ascii="仿宋_GB2312" w:eastAsia="仿宋_GB2312" w:hAnsi="宋体" w:cs="宋体" w:hint="eastAsia"/>
          <w:sz w:val="30"/>
          <w:szCs w:val="30"/>
        </w:rPr>
      </w:pPr>
    </w:p>
    <w:p w:rsidR="000A07D0" w:rsidRDefault="000A07D0" w:rsidP="00B03476">
      <w:pPr>
        <w:pStyle w:val="a3"/>
        <w:rPr>
          <w:rFonts w:hAnsi="宋体" w:cs="宋体" w:hint="eastAsia"/>
        </w:rPr>
      </w:pPr>
    </w:p>
    <w:p w:rsidR="000A07D0" w:rsidRPr="000A07D0" w:rsidRDefault="000A07D0" w:rsidP="00B03476">
      <w:pPr>
        <w:pStyle w:val="a3"/>
        <w:rPr>
          <w:rFonts w:hAnsi="宋体" w:cs="宋体" w:hint="eastAsia"/>
          <w:u w:val="single"/>
        </w:rPr>
      </w:pPr>
      <w:r>
        <w:rPr>
          <w:rFonts w:hAnsi="宋体" w:cs="宋体" w:hint="eastAsia"/>
          <w:u w:val="single"/>
        </w:rPr>
        <w:t xml:space="preserve">                                                                              </w:t>
      </w:r>
    </w:p>
    <w:p w:rsidR="000A07D0" w:rsidRPr="00221315" w:rsidRDefault="000A07D0" w:rsidP="00B03476">
      <w:pPr>
        <w:pStyle w:val="a3"/>
        <w:rPr>
          <w:rFonts w:hAnsi="宋体" w:cs="宋体" w:hint="eastAsia"/>
        </w:rPr>
      </w:pPr>
      <w:r w:rsidRPr="00221315">
        <w:rPr>
          <w:rFonts w:hAnsi="宋体" w:cs="宋体" w:hint="eastAsia"/>
        </w:rPr>
        <w:t>最高人民法院办公厅秘书一处</w:t>
      </w:r>
      <w:r>
        <w:rPr>
          <w:rFonts w:hAnsi="宋体" w:cs="宋体" w:hint="eastAsia"/>
        </w:rPr>
        <w:t xml:space="preserve">                             </w:t>
      </w:r>
      <w:r w:rsidRPr="00221315">
        <w:rPr>
          <w:rFonts w:hAnsi="宋体" w:cs="宋体" w:hint="eastAsia"/>
        </w:rPr>
        <w:t>2020年12月29日印发</w:t>
      </w:r>
    </w:p>
    <w:p w:rsidR="000A07D0" w:rsidRPr="000A07D0" w:rsidRDefault="000A07D0" w:rsidP="00B03476">
      <w:pPr>
        <w:pStyle w:val="a3"/>
        <w:rPr>
          <w:rFonts w:hAnsi="宋体" w:cs="宋体"/>
          <w:u w:val="single"/>
        </w:rPr>
      </w:pPr>
      <w:r>
        <w:rPr>
          <w:rFonts w:hAnsi="宋体" w:cs="宋体" w:hint="eastAsia"/>
          <w:u w:val="single"/>
        </w:rPr>
        <w:t xml:space="preserve">                                                                                 </w:t>
      </w:r>
    </w:p>
    <w:p w:rsidR="00723C50" w:rsidRPr="000A07D0" w:rsidRDefault="00723C50" w:rsidP="000A07D0">
      <w:pPr>
        <w:pStyle w:val="a3"/>
        <w:spacing w:line="520" w:lineRule="exact"/>
        <w:rPr>
          <w:rFonts w:hAnsi="宋体" w:cs="宋体"/>
          <w:u w:val="single"/>
        </w:rPr>
      </w:pPr>
    </w:p>
    <w:p w:rsidR="00D81223" w:rsidRPr="00D81223" w:rsidRDefault="00D81223" w:rsidP="00B67790">
      <w:pPr>
        <w:pStyle w:val="a3"/>
        <w:rPr>
          <w:rFonts w:hAnsi="宋体" w:cs="宋体"/>
          <w:u w:val="single"/>
        </w:rPr>
      </w:pPr>
    </w:p>
    <w:sectPr w:rsidR="00D81223" w:rsidRPr="00D81223"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ECE" w:rsidRDefault="00803ECE">
      <w:r>
        <w:separator/>
      </w:r>
    </w:p>
  </w:endnote>
  <w:endnote w:type="continuationSeparator" w:id="1">
    <w:p w:rsidR="00803ECE" w:rsidRDefault="00803EC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CA32D1"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end"/>
    </w:r>
  </w:p>
  <w:p w:rsidR="00542147" w:rsidRDefault="00542147"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CA32D1"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separate"/>
    </w:r>
    <w:r w:rsidR="000A07D0">
      <w:rPr>
        <w:rStyle w:val="a5"/>
        <w:noProof/>
      </w:rPr>
      <w:t>0</w:t>
    </w:r>
    <w:r>
      <w:rPr>
        <w:rStyle w:val="a5"/>
      </w:rPr>
      <w:fldChar w:fldCharType="end"/>
    </w:r>
  </w:p>
  <w:p w:rsidR="00542147" w:rsidRDefault="00542147"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ECE" w:rsidRDefault="00803ECE">
      <w:r>
        <w:separator/>
      </w:r>
    </w:p>
  </w:footnote>
  <w:footnote w:type="continuationSeparator" w:id="1">
    <w:p w:rsidR="00803ECE" w:rsidRDefault="00803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2344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07D0"/>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C4B"/>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2D1"/>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FC39-9778-4A21-BE06-87F6FA0D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5159</Words>
  <Characters>597</Characters>
  <Application>Microsoft Office Word</Application>
  <DocSecurity>0</DocSecurity>
  <Lines>4</Lines>
  <Paragraphs>11</Paragraphs>
  <ScaleCrop>false</ScaleCrop>
  <Company>Lenovo (Beijing) Limited</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荣素苓</cp:lastModifiedBy>
  <cp:revision>3</cp:revision>
  <cp:lastPrinted>2014-04-03T09:04:00Z</cp:lastPrinted>
  <dcterms:created xsi:type="dcterms:W3CDTF">2020-12-29T19:08:00Z</dcterms:created>
  <dcterms:modified xsi:type="dcterms:W3CDTF">2020-12-29T19:10:00Z</dcterms:modified>
</cp:coreProperties>
</file>